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44519B" w14:textId="646E8AA8" w:rsidR="00BD1919" w:rsidRDefault="00000000">
      <w:pPr>
        <w:pStyle w:val="Header"/>
        <w:tabs>
          <w:tab w:val="right" w:pos="5954"/>
        </w:tabs>
        <w:spacing w:after="240"/>
        <w:jc w:val="right"/>
        <w:rPr>
          <w:rFonts w:ascii="Calibri" w:hAnsi="Calibri"/>
          <w:b/>
          <w:bCs/>
          <w:color w:val="00558C"/>
          <w:sz w:val="24"/>
          <w:szCs w:val="24"/>
        </w:rPr>
      </w:pPr>
      <w:r>
        <w:rPr>
          <w:rFonts w:ascii="Calibri" w:hAnsi="Calibri"/>
          <w:b/>
          <w:bCs/>
          <w:color w:val="00558C"/>
          <w:sz w:val="24"/>
          <w:szCs w:val="24"/>
        </w:rPr>
        <w:t xml:space="preserve">Input paper:  </w:t>
      </w:r>
      <w:r w:rsidRPr="003F50A1">
        <w:rPr>
          <w:rFonts w:ascii="Calibri" w:eastAsia="SimSun" w:hAnsi="Calibri" w:hint="eastAsia"/>
          <w:color w:val="00558C"/>
          <w:sz w:val="24"/>
          <w:szCs w:val="24"/>
          <w:lang w:val="en-US" w:eastAsia="zh-CN"/>
        </w:rPr>
        <w:t>DTEC</w:t>
      </w:r>
      <w:r w:rsidRPr="003F50A1">
        <w:rPr>
          <w:rFonts w:ascii="Calibri" w:eastAsia="SimSun" w:hAnsi="Calibri"/>
          <w:color w:val="00558C"/>
          <w:sz w:val="24"/>
          <w:szCs w:val="24"/>
          <w:lang w:val="en-US" w:eastAsia="zh-CN"/>
        </w:rPr>
        <w:t>6</w:t>
      </w:r>
      <w:r w:rsidRPr="003F50A1">
        <w:rPr>
          <w:rFonts w:ascii="Calibri" w:hAnsi="Calibri"/>
          <w:color w:val="00558C"/>
          <w:sz w:val="24"/>
          <w:szCs w:val="24"/>
        </w:rPr>
        <w:t>-</w:t>
      </w:r>
      <w:r w:rsidR="003F50A1" w:rsidRPr="003F50A1">
        <w:rPr>
          <w:rFonts w:ascii="Calibri" w:hAnsi="Calibri"/>
          <w:color w:val="00558C"/>
          <w:sz w:val="24"/>
          <w:szCs w:val="24"/>
        </w:rPr>
        <w:t>6.2.3.1</w:t>
      </w:r>
    </w:p>
    <w:p w14:paraId="6C44519C" w14:textId="77777777" w:rsidR="00BD1919" w:rsidRDefault="00BD1919">
      <w:pPr>
        <w:pStyle w:val="BodyText"/>
        <w:tabs>
          <w:tab w:val="left" w:pos="2835"/>
        </w:tabs>
        <w:rPr>
          <w:rFonts w:ascii="Calibri" w:hAnsi="Calibri"/>
        </w:rPr>
      </w:pPr>
    </w:p>
    <w:p w14:paraId="6C44519D" w14:textId="77777777" w:rsidR="00BD1919" w:rsidRDefault="00000000">
      <w:pPr>
        <w:pStyle w:val="BodyText"/>
        <w:tabs>
          <w:tab w:val="left" w:pos="2835"/>
        </w:tabs>
        <w:spacing w:after="0"/>
        <w:rPr>
          <w:rFonts w:ascii="Calibri" w:hAnsi="Calibri"/>
          <w:b/>
          <w:bCs/>
          <w:color w:val="00558C"/>
          <w:sz w:val="24"/>
          <w:szCs w:val="24"/>
        </w:rPr>
      </w:pPr>
      <w:r>
        <w:rPr>
          <w:rFonts w:ascii="Calibri" w:hAnsi="Calibri"/>
          <w:b/>
          <w:bCs/>
          <w:color w:val="00558C"/>
          <w:sz w:val="24"/>
          <w:szCs w:val="24"/>
        </w:rPr>
        <w:t>Input paper for the following Committee(s):</w:t>
      </w:r>
      <w:r>
        <w:rPr>
          <w:rFonts w:ascii="Calibri" w:hAnsi="Calibri"/>
          <w:color w:val="00558C"/>
        </w:rPr>
        <w:t xml:space="preserve"> </w:t>
      </w:r>
      <w:r>
        <w:rPr>
          <w:rFonts w:ascii="Calibri" w:hAnsi="Calibri"/>
        </w:rPr>
        <w:tab/>
      </w:r>
      <w:r>
        <w:rPr>
          <w:rFonts w:ascii="Calibri" w:hAnsi="Calibri"/>
        </w:rPr>
        <w:tab/>
      </w:r>
      <w:r>
        <w:rPr>
          <w:rFonts w:ascii="Calibri" w:hAnsi="Calibri"/>
          <w:b/>
          <w:bCs/>
          <w:color w:val="00558C"/>
          <w:sz w:val="24"/>
          <w:szCs w:val="24"/>
        </w:rPr>
        <w:t>Purpose of paper:</w:t>
      </w:r>
    </w:p>
    <w:p w14:paraId="6C44519E" w14:textId="77777777" w:rsidR="00BD1919" w:rsidRDefault="00000000">
      <w:pPr>
        <w:pStyle w:val="BodyText"/>
        <w:tabs>
          <w:tab w:val="left" w:pos="2835"/>
        </w:tabs>
        <w:rPr>
          <w:rFonts w:ascii="Calibri" w:hAnsi="Calibri"/>
        </w:rPr>
      </w:pPr>
      <w:r>
        <w:rPr>
          <w:rFonts w:ascii="Calibri" w:hAnsi="Calibri"/>
          <w:sz w:val="18"/>
          <w:szCs w:val="18"/>
        </w:rPr>
        <w:t>(Select as appropriate)</w:t>
      </w:r>
      <w:r>
        <w:rPr>
          <w:rFonts w:ascii="Calibri" w:hAnsi="Calibri"/>
          <w:sz w:val="18"/>
          <w:szCs w:val="18"/>
        </w:rPr>
        <w:tab/>
      </w:r>
    </w:p>
    <w:p w14:paraId="6C44519F" w14:textId="77777777" w:rsidR="00BD1919" w:rsidRDefault="00000000">
      <w:pPr>
        <w:pStyle w:val="BodyText"/>
        <w:tabs>
          <w:tab w:val="left" w:pos="1843"/>
        </w:tabs>
        <w:rPr>
          <w:rFonts w:ascii="Calibri" w:hAnsi="Calibri" w:cs="Arial"/>
          <w:b/>
        </w:rPr>
      </w:pPr>
      <w:sdt>
        <w:sdtPr>
          <w:rPr>
            <w:rFonts w:ascii="Calibri" w:hAnsi="Calibri" w:cs="Arial"/>
            <w:b/>
            <w:sz w:val="24"/>
            <w:szCs w:val="24"/>
          </w:rPr>
          <w:id w:val="-1045064256"/>
          <w14:checkbox>
            <w14:checked w14:val="0"/>
            <w14:checkedState w14:val="2612" w14:font="MS Gothic"/>
            <w14:uncheckedState w14:val="2610" w14:font="MS Gothic"/>
          </w14:checkbox>
        </w:sdtPr>
        <w:sdtContent>
          <w:r>
            <w:rPr>
              <w:rFonts w:ascii="MS Gothic" w:eastAsia="MS Gothic" w:hAnsi="MS Gothic" w:cs="Arial" w:hint="eastAsia"/>
              <w:b/>
              <w:sz w:val="24"/>
              <w:szCs w:val="24"/>
            </w:rPr>
            <w:t>☐</w:t>
          </w:r>
        </w:sdtContent>
      </w:sdt>
      <w:r>
        <w:rPr>
          <w:rFonts w:ascii="Calibri" w:hAnsi="Calibri" w:cs="Arial"/>
          <w:sz w:val="24"/>
          <w:szCs w:val="24"/>
        </w:rPr>
        <w:t xml:space="preserve"> </w:t>
      </w:r>
      <w:r>
        <w:rPr>
          <w:rFonts w:ascii="Calibri" w:hAnsi="Calibri" w:cs="Arial"/>
        </w:rPr>
        <w:t>ARM</w:t>
      </w:r>
      <w:r>
        <w:rPr>
          <w:rFonts w:ascii="Calibri" w:hAnsi="Calibri" w:cs="Arial"/>
        </w:rPr>
        <w:tab/>
      </w:r>
      <w:sdt>
        <w:sdtPr>
          <w:rPr>
            <w:rFonts w:ascii="Calibri" w:hAnsi="Calibri" w:cs="Arial"/>
            <w:b/>
            <w:sz w:val="24"/>
            <w:szCs w:val="24"/>
          </w:rPr>
          <w:id w:val="895934218"/>
          <w14:checkbox>
            <w14:checked w14:val="0"/>
            <w14:checkedState w14:val="2612" w14:font="MS Gothic"/>
            <w14:uncheckedState w14:val="2610" w14:font="MS Gothic"/>
          </w14:checkbox>
        </w:sdtPr>
        <w:sdtContent>
          <w:r>
            <w:rPr>
              <w:rFonts w:ascii="MS Gothic" w:eastAsia="MS Gothic" w:hAnsi="MS Gothic" w:cs="Arial" w:hint="eastAsia"/>
              <w:b/>
              <w:sz w:val="24"/>
              <w:szCs w:val="24"/>
            </w:rPr>
            <w:t>☐</w:t>
          </w:r>
        </w:sdtContent>
      </w:sdt>
      <w:r>
        <w:rPr>
          <w:rFonts w:ascii="Calibri" w:hAnsi="Calibri" w:cs="Arial"/>
          <w:sz w:val="24"/>
          <w:szCs w:val="24"/>
        </w:rPr>
        <w:t xml:space="preserve">  </w:t>
      </w:r>
      <w:r>
        <w:rPr>
          <w:rFonts w:ascii="Calibri" w:hAnsi="Calibri" w:cs="Arial"/>
        </w:rPr>
        <w:t>ENG</w:t>
      </w:r>
      <w:r>
        <w:rPr>
          <w:rFonts w:ascii="Calibri" w:hAnsi="Calibri" w:cs="Arial"/>
        </w:rPr>
        <w:tab/>
      </w:r>
      <w:r>
        <w:rPr>
          <w:rFonts w:ascii="Calibri" w:hAnsi="Calibri" w:cs="Arial"/>
        </w:rPr>
        <w:tab/>
      </w:r>
      <w:sdt>
        <w:sdtPr>
          <w:rPr>
            <w:rFonts w:ascii="Calibri" w:hAnsi="Calibri" w:cs="Arial"/>
            <w:b/>
            <w:sz w:val="24"/>
            <w:szCs w:val="24"/>
          </w:rPr>
          <w:id w:val="-596094117"/>
          <w14:checkbox>
            <w14:checked w14:val="0"/>
            <w14:checkedState w14:val="2612" w14:font="MS Gothic"/>
            <w14:uncheckedState w14:val="2610" w14:font="MS Gothic"/>
          </w14:checkbox>
        </w:sdtPr>
        <w:sdtContent>
          <w:r>
            <w:rPr>
              <w:rFonts w:ascii="MS Gothic" w:eastAsia="MS Gothic" w:hAnsi="MS Gothic" w:cs="Arial" w:hint="eastAsia"/>
              <w:b/>
              <w:sz w:val="24"/>
              <w:szCs w:val="24"/>
            </w:rPr>
            <w:t>☐</w:t>
          </w:r>
        </w:sdtContent>
      </w:sdt>
      <w:r>
        <w:rPr>
          <w:rFonts w:ascii="Calibri" w:hAnsi="Calibri" w:cs="Arial"/>
          <w:sz w:val="24"/>
          <w:szCs w:val="24"/>
        </w:rPr>
        <w:t xml:space="preserve"> </w:t>
      </w:r>
      <w:r>
        <w:rPr>
          <w:rFonts w:ascii="Calibri" w:hAnsi="Calibri" w:cs="Arial"/>
        </w:rPr>
        <w:t>PAP</w:t>
      </w:r>
      <w:r>
        <w:rPr>
          <w:rFonts w:ascii="Calibri" w:hAnsi="Calibri" w:cs="Arial"/>
          <w:sz w:val="24"/>
          <w:szCs w:val="24"/>
        </w:rPr>
        <w:tab/>
      </w:r>
      <w:r>
        <w:rPr>
          <w:rFonts w:ascii="Calibri" w:hAnsi="Calibri" w:cs="Arial"/>
          <w:sz w:val="24"/>
          <w:szCs w:val="24"/>
        </w:rPr>
        <w:tab/>
      </w:r>
      <w:r>
        <w:rPr>
          <w:rFonts w:ascii="Calibri" w:hAnsi="Calibri" w:cs="Arial"/>
          <w:sz w:val="24"/>
          <w:szCs w:val="24"/>
        </w:rPr>
        <w:tab/>
      </w:r>
      <w:sdt>
        <w:sdtPr>
          <w:rPr>
            <w:rFonts w:ascii="Calibri" w:hAnsi="Calibri" w:cs="Arial"/>
            <w:b/>
            <w:sz w:val="24"/>
            <w:szCs w:val="24"/>
          </w:rPr>
          <w:id w:val="-1999726360"/>
          <w14:checkbox>
            <w14:checked w14:val="1"/>
            <w14:checkedState w14:val="2612" w14:font="MS Gothic"/>
            <w14:uncheckedState w14:val="2610" w14:font="MS Gothic"/>
          </w14:checkbox>
        </w:sdtPr>
        <w:sdtContent>
          <w:r>
            <w:rPr>
              <w:rFonts w:ascii="MS Gothic" w:eastAsia="MS Gothic" w:hAnsi="MS Gothic" w:cs="Arial" w:hint="eastAsia"/>
              <w:b/>
              <w:sz w:val="24"/>
              <w:szCs w:val="24"/>
            </w:rPr>
            <w:t>☒</w:t>
          </w:r>
        </w:sdtContent>
      </w:sdt>
      <w:r>
        <w:rPr>
          <w:rFonts w:ascii="Calibri" w:hAnsi="Calibri" w:cs="Arial"/>
          <w:sz w:val="24"/>
          <w:szCs w:val="24"/>
        </w:rPr>
        <w:t xml:space="preserve"> </w:t>
      </w:r>
      <w:r>
        <w:rPr>
          <w:rFonts w:ascii="Calibri" w:hAnsi="Calibri" w:cs="Arial"/>
        </w:rPr>
        <w:t>Input</w:t>
      </w:r>
    </w:p>
    <w:p w14:paraId="6C4451A0" w14:textId="77777777" w:rsidR="00BD1919" w:rsidRDefault="00000000">
      <w:pPr>
        <w:pStyle w:val="BodyText"/>
        <w:tabs>
          <w:tab w:val="left" w:pos="1843"/>
        </w:tabs>
        <w:rPr>
          <w:rFonts w:ascii="Calibri" w:hAnsi="Calibri"/>
        </w:rPr>
      </w:pPr>
      <w:sdt>
        <w:sdtPr>
          <w:rPr>
            <w:rFonts w:ascii="Calibri" w:hAnsi="Calibri" w:cs="Arial"/>
            <w:b/>
          </w:rPr>
          <w:id w:val="746849023"/>
          <w14:checkbox>
            <w14:checked w14:val="1"/>
            <w14:checkedState w14:val="2612" w14:font="MS Gothic"/>
            <w14:uncheckedState w14:val="2610" w14:font="MS Gothic"/>
          </w14:checkbox>
        </w:sdtPr>
        <w:sdtContent>
          <w:r>
            <w:rPr>
              <w:rFonts w:ascii="MS Gothic" w:eastAsia="MS Gothic" w:hAnsi="MS Gothic" w:cs="Arial" w:hint="eastAsia"/>
              <w:b/>
            </w:rPr>
            <w:t>☒</w:t>
          </w:r>
        </w:sdtContent>
      </w:sdt>
      <w:r>
        <w:rPr>
          <w:rFonts w:ascii="Calibri" w:hAnsi="Calibri" w:cs="Arial"/>
        </w:rPr>
        <w:t xml:space="preserve"> </w:t>
      </w:r>
      <w:r>
        <w:rPr>
          <w:rFonts w:ascii="Calibri" w:eastAsia="SimSun" w:hAnsi="Calibri" w:cs="Arial" w:hint="eastAsia"/>
          <w:lang w:val="en-US" w:eastAsia="zh-CN"/>
        </w:rPr>
        <w:t>DTEC</w:t>
      </w:r>
      <w:r>
        <w:rPr>
          <w:rFonts w:ascii="Calibri" w:hAnsi="Calibri" w:cs="Arial"/>
          <w:b/>
        </w:rPr>
        <w:tab/>
      </w:r>
      <w:sdt>
        <w:sdtPr>
          <w:rPr>
            <w:rFonts w:ascii="Calibri" w:hAnsi="Calibri" w:cs="Arial"/>
            <w:b/>
          </w:rPr>
          <w:id w:val="744305145"/>
          <w14:checkbox>
            <w14:checked w14:val="0"/>
            <w14:checkedState w14:val="2612" w14:font="MS Gothic"/>
            <w14:uncheckedState w14:val="2610" w14:font="MS Gothic"/>
          </w14:checkbox>
        </w:sdtPr>
        <w:sdtContent>
          <w:r>
            <w:rPr>
              <w:rFonts w:ascii="MS Gothic" w:eastAsia="MS Gothic" w:hAnsi="MS Gothic" w:cs="Arial" w:hint="eastAsia"/>
              <w:b/>
            </w:rPr>
            <w:t>☐</w:t>
          </w:r>
        </w:sdtContent>
      </w:sdt>
      <w:r>
        <w:rPr>
          <w:rFonts w:ascii="Calibri" w:hAnsi="Calibri" w:cs="Arial"/>
        </w:rPr>
        <w:t xml:space="preserve"> VTS</w:t>
      </w:r>
      <w:r>
        <w:rPr>
          <w:rFonts w:ascii="Calibri" w:hAnsi="Calibri" w:cs="Arial"/>
        </w:rPr>
        <w:tab/>
      </w:r>
      <w:r>
        <w:rPr>
          <w:rFonts w:ascii="Calibri" w:hAnsi="Calibri" w:cs="Arial"/>
        </w:rPr>
        <w:tab/>
      </w:r>
      <w:r>
        <w:rPr>
          <w:rFonts w:ascii="Calibri" w:hAnsi="Calibri" w:cs="Arial"/>
        </w:rPr>
        <w:tab/>
      </w:r>
      <w:r>
        <w:rPr>
          <w:rFonts w:ascii="Calibri" w:hAnsi="Calibri" w:cs="Arial"/>
        </w:rPr>
        <w:tab/>
      </w:r>
      <w:r>
        <w:rPr>
          <w:rFonts w:ascii="Calibri" w:hAnsi="Calibri" w:cs="Arial"/>
        </w:rPr>
        <w:tab/>
      </w:r>
      <w:sdt>
        <w:sdtPr>
          <w:rPr>
            <w:rFonts w:ascii="Calibri" w:hAnsi="Calibri" w:cs="Arial"/>
            <w:b/>
          </w:rPr>
          <w:id w:val="1767952044"/>
          <w14:checkbox>
            <w14:checked w14:val="0"/>
            <w14:checkedState w14:val="2612" w14:font="MS Gothic"/>
            <w14:uncheckedState w14:val="2610" w14:font="MS Gothic"/>
          </w14:checkbox>
        </w:sdtPr>
        <w:sdtContent>
          <w:r>
            <w:rPr>
              <w:rFonts w:ascii="MS Gothic" w:eastAsia="MS Gothic" w:hAnsi="MS Gothic" w:cs="Arial" w:hint="eastAsia"/>
              <w:b/>
            </w:rPr>
            <w:t>☐</w:t>
          </w:r>
        </w:sdtContent>
      </w:sdt>
      <w:r>
        <w:rPr>
          <w:rFonts w:ascii="Calibri" w:hAnsi="Calibri" w:cs="Arial"/>
        </w:rPr>
        <w:t xml:space="preserve"> Information</w:t>
      </w:r>
    </w:p>
    <w:p w14:paraId="6C4451A1" w14:textId="77777777" w:rsidR="00BD1919" w:rsidRDefault="00BD1919">
      <w:pPr>
        <w:pStyle w:val="BodyText"/>
        <w:tabs>
          <w:tab w:val="left" w:pos="2835"/>
        </w:tabs>
        <w:rPr>
          <w:rFonts w:ascii="Calibri" w:hAnsi="Calibri"/>
        </w:rPr>
      </w:pPr>
    </w:p>
    <w:p w14:paraId="6C4451A2" w14:textId="77777777" w:rsidR="00BD1919" w:rsidRDefault="00000000">
      <w:pPr>
        <w:pStyle w:val="BodyText"/>
        <w:tabs>
          <w:tab w:val="left" w:pos="2835"/>
        </w:tabs>
        <w:rPr>
          <w:rFonts w:ascii="Calibri" w:hAnsi="Calibri"/>
        </w:rPr>
      </w:pPr>
      <w:r>
        <w:rPr>
          <w:rFonts w:ascii="Calibri" w:hAnsi="Calibri"/>
          <w:b/>
          <w:bCs/>
          <w:color w:val="00558C"/>
          <w:sz w:val="24"/>
          <w:szCs w:val="24"/>
        </w:rPr>
        <w:t>Agenda item</w:t>
      </w:r>
      <w:r>
        <w:rPr>
          <w:rFonts w:ascii="Calibri" w:hAnsi="Calibri"/>
        </w:rPr>
        <w:t xml:space="preserve"> </w:t>
      </w:r>
      <w:r>
        <w:rPr>
          <w:rFonts w:ascii="Calibri" w:hAnsi="Calibri"/>
        </w:rPr>
        <w:tab/>
      </w:r>
      <w:r>
        <w:rPr>
          <w:rFonts w:ascii="Calibri" w:hAnsi="Calibri"/>
        </w:rPr>
        <w:tab/>
      </w:r>
      <w:r>
        <w:rPr>
          <w:rFonts w:ascii="Calibri" w:hAnsi="Calibri"/>
        </w:rPr>
        <w:tab/>
        <w:t>n.n</w:t>
      </w:r>
    </w:p>
    <w:p w14:paraId="6C4451A3" w14:textId="77777777" w:rsidR="00BD1919" w:rsidRDefault="00000000">
      <w:pPr>
        <w:pStyle w:val="BodyText"/>
        <w:tabs>
          <w:tab w:val="left" w:pos="2835"/>
        </w:tabs>
        <w:rPr>
          <w:rFonts w:ascii="Calibri" w:hAnsi="Calibri"/>
        </w:rPr>
      </w:pPr>
      <w:r>
        <w:rPr>
          <w:rFonts w:ascii="Calibri" w:hAnsi="Calibri"/>
          <w:b/>
          <w:bCs/>
          <w:color w:val="00558C"/>
          <w:sz w:val="24"/>
          <w:szCs w:val="24"/>
        </w:rPr>
        <w:t>Technical domain/ Task number</w:t>
      </w:r>
      <w:r>
        <w:rPr>
          <w:rFonts w:ascii="Calibri" w:hAnsi="Calibri"/>
        </w:rPr>
        <w:t xml:space="preserve"> </w:t>
      </w:r>
      <w:r>
        <w:rPr>
          <w:rFonts w:ascii="Calibri" w:hAnsi="Calibri"/>
        </w:rPr>
        <w:tab/>
        <w:t>…………………………………</w:t>
      </w:r>
    </w:p>
    <w:p w14:paraId="6C4451A4" w14:textId="77777777" w:rsidR="00BD1919" w:rsidRDefault="00000000">
      <w:pPr>
        <w:pStyle w:val="BodyText"/>
        <w:tabs>
          <w:tab w:val="left" w:pos="2835"/>
        </w:tabs>
        <w:rPr>
          <w:rFonts w:ascii="Calibri" w:hAnsi="Calibri"/>
          <w:color w:val="FF0000"/>
        </w:rPr>
      </w:pPr>
      <w:r>
        <w:rPr>
          <w:rFonts w:ascii="Calibri" w:hAnsi="Calibri"/>
          <w:b/>
          <w:bCs/>
          <w:color w:val="00558C"/>
          <w:sz w:val="24"/>
          <w:szCs w:val="24"/>
        </w:rPr>
        <w:t>Author(s)/Submitter(s)</w:t>
      </w:r>
      <w:r>
        <w:rPr>
          <w:rFonts w:ascii="Calibri" w:hAnsi="Calibri"/>
        </w:rPr>
        <w:tab/>
      </w:r>
      <w:r>
        <w:rPr>
          <w:rFonts w:ascii="Calibri" w:hAnsi="Calibri"/>
        </w:rPr>
        <w:tab/>
      </w:r>
      <w:r>
        <w:rPr>
          <w:rFonts w:ascii="Calibri" w:hAnsi="Calibri"/>
        </w:rPr>
        <w:tab/>
      </w:r>
      <w:r>
        <w:rPr>
          <w:rFonts w:ascii="Calibri" w:hAnsi="Calibri" w:hint="eastAsia"/>
        </w:rPr>
        <w:t>China MSA</w:t>
      </w:r>
    </w:p>
    <w:p w14:paraId="6C4451A5" w14:textId="77777777" w:rsidR="00BD1919" w:rsidRDefault="00000000">
      <w:pPr>
        <w:pStyle w:val="BodyText"/>
        <w:tabs>
          <w:tab w:val="left" w:pos="7860"/>
        </w:tabs>
        <w:rPr>
          <w:rFonts w:ascii="Calibri" w:hAnsi="Calibri"/>
        </w:rPr>
      </w:pPr>
      <w:r>
        <w:rPr>
          <w:rFonts w:ascii="Calibri" w:hAnsi="Calibri"/>
        </w:rPr>
        <w:tab/>
      </w:r>
    </w:p>
    <w:p w14:paraId="6C4451A6" w14:textId="77777777" w:rsidR="00BD1919" w:rsidRDefault="00000000">
      <w:pPr>
        <w:pStyle w:val="Title"/>
      </w:pPr>
      <w:r>
        <w:rPr>
          <w:rFonts w:hint="eastAsia"/>
        </w:rPr>
        <w:t>Proposal to Supplement the Guideline for Shore VDES Infrastructure with aN appendix on Data Service Interface Specification</w:t>
      </w:r>
    </w:p>
    <w:p w14:paraId="6C4451A7" w14:textId="77777777" w:rsidR="00BD1919" w:rsidRDefault="00000000">
      <w:pPr>
        <w:pStyle w:val="Heading1"/>
        <w:numPr>
          <w:ilvl w:val="0"/>
          <w:numId w:val="25"/>
        </w:numPr>
      </w:pPr>
      <w:r>
        <w:t>Summary</w:t>
      </w:r>
    </w:p>
    <w:p w14:paraId="6C4451A8" w14:textId="77777777" w:rsidR="00BD1919" w:rsidRDefault="00000000">
      <w:pPr>
        <w:pStyle w:val="BodyText"/>
        <w:rPr>
          <w:rFonts w:ascii="Calibri" w:hAnsi="Calibri"/>
        </w:rPr>
      </w:pPr>
      <w:r>
        <w:rPr>
          <w:rFonts w:ascii="Calibri" w:hAnsi="Calibri" w:hint="eastAsia"/>
        </w:rPr>
        <w:t>At the IALA DTEC1 meeting, it was proposed to develop a new Guideline on VHF Data Exchange System (VDES) Shore-based Infrastructure to integrate the contents of Recommendations R0124 and R1007. ALLFORLAND further refined the draft during DTEC4 and requested member assistance for its completion. At the IALA DTEC5 meeting, China MSA proposed adding a specification regarding the VDES shore-based system data service interface to the Guideline. Following review, the Committee decided that China MSA would be responsible for drafting an independent annex for this Guideline. This proposal outlines the framework for the "VDES Shore-based System Service Interface Specification" to serve as a reference for the subsequent development of the complete specification.</w:t>
      </w:r>
    </w:p>
    <w:p w14:paraId="6C4451A9" w14:textId="77777777" w:rsidR="00BD1919" w:rsidRDefault="00000000">
      <w:pPr>
        <w:pStyle w:val="Heading2"/>
        <w:numPr>
          <w:ilvl w:val="1"/>
          <w:numId w:val="25"/>
        </w:numPr>
      </w:pPr>
      <w:r>
        <w:t>Purpose of the document</w:t>
      </w:r>
    </w:p>
    <w:p w14:paraId="6C4451AA" w14:textId="77777777" w:rsidR="00BD1919" w:rsidRDefault="00000000">
      <w:pPr>
        <w:pStyle w:val="BodyText"/>
        <w:rPr>
          <w:rFonts w:ascii="Calibri" w:hAnsi="Calibri"/>
        </w:rPr>
      </w:pPr>
      <w:r>
        <w:rPr>
          <w:rFonts w:ascii="Calibri" w:hAnsi="Calibri" w:hint="eastAsia"/>
        </w:rPr>
        <w:t>The purpose of this document is to provide the "VDES Shore-based Service Interface Specification" as an annex to the VDES Shore-based Infrastructure Guidelines. This aims to incorporate the VDES data application protocol, based on the S-100 Universal Hydrographic Data Model, into the VDES infrastructure standards. The Committee is requested to consider the attached draft framework and include it as part of the Guideline for continuous improvement in future sessions.</w:t>
      </w:r>
    </w:p>
    <w:p w14:paraId="6C4451AB" w14:textId="77777777" w:rsidR="00BD1919" w:rsidRDefault="00000000">
      <w:pPr>
        <w:pStyle w:val="Heading2"/>
        <w:numPr>
          <w:ilvl w:val="1"/>
          <w:numId w:val="25"/>
        </w:numPr>
      </w:pPr>
      <w:r>
        <w:t>Related documents</w:t>
      </w:r>
    </w:p>
    <w:p w14:paraId="6C4451AC" w14:textId="77777777" w:rsidR="00BD1919" w:rsidRDefault="00000000">
      <w:pPr>
        <w:pStyle w:val="BodyText"/>
        <w:rPr>
          <w:rFonts w:ascii="Calibri" w:hAnsi="Calibri"/>
        </w:rPr>
      </w:pPr>
      <w:r>
        <w:rPr>
          <w:rFonts w:ascii="Calibri" w:hAnsi="Calibri" w:hint="eastAsia"/>
        </w:rPr>
        <w:t>[1]ITU-R M.2092-1, Technical characteristics for a VHF data exchange system in the VHF maritime mobile band, February 2022</w:t>
      </w:r>
    </w:p>
    <w:p w14:paraId="6C4451AD" w14:textId="77777777" w:rsidR="00BD1919" w:rsidRDefault="00000000">
      <w:pPr>
        <w:pStyle w:val="BodyText"/>
        <w:rPr>
          <w:rFonts w:ascii="Calibri" w:hAnsi="Calibri"/>
        </w:rPr>
      </w:pPr>
      <w:r>
        <w:rPr>
          <w:rFonts w:ascii="Calibri" w:hAnsi="Calibri" w:hint="eastAsia"/>
        </w:rPr>
        <w:t>[2]IALA G1117, VHF Data Exchange System (VDES) Overview, December 2022</w:t>
      </w:r>
    </w:p>
    <w:p w14:paraId="6C4451AE" w14:textId="77777777" w:rsidR="00BD1919" w:rsidRDefault="00000000">
      <w:pPr>
        <w:pStyle w:val="BodyText"/>
        <w:rPr>
          <w:rFonts w:ascii="Calibri" w:hAnsi="Calibri"/>
        </w:rPr>
      </w:pPr>
      <w:r>
        <w:rPr>
          <w:rFonts w:ascii="Calibri" w:hAnsi="Calibri" w:hint="eastAsia"/>
        </w:rPr>
        <w:t>[3]IALA R1007, The VHF Data Exchange System (VDES) for Shore Infrastructure, June 2017</w:t>
      </w:r>
    </w:p>
    <w:p w14:paraId="6C4451AF" w14:textId="77777777" w:rsidR="00BD1919" w:rsidRDefault="00000000">
      <w:pPr>
        <w:pStyle w:val="BodyText"/>
        <w:rPr>
          <w:rFonts w:ascii="Calibri" w:hAnsi="Calibri"/>
        </w:rPr>
      </w:pPr>
      <w:r>
        <w:rPr>
          <w:rFonts w:ascii="Calibri" w:hAnsi="Calibri" w:hint="eastAsia"/>
        </w:rPr>
        <w:t>[4]IALA R0124 Ed2.2, The AIS Service, December 2012</w:t>
      </w:r>
    </w:p>
    <w:p w14:paraId="6C4451B0" w14:textId="77777777" w:rsidR="00BD1919" w:rsidRDefault="00000000">
      <w:pPr>
        <w:pStyle w:val="BodyText"/>
        <w:rPr>
          <w:rFonts w:ascii="Calibri" w:hAnsi="Calibri"/>
        </w:rPr>
      </w:pPr>
      <w:r>
        <w:rPr>
          <w:rFonts w:ascii="Calibri" w:hAnsi="Calibri" w:hint="eastAsia"/>
        </w:rPr>
        <w:t>[5]IHO S-100 Universal Hydrographic Data Model, Edition 5.2.0, 2024</w:t>
      </w:r>
    </w:p>
    <w:p w14:paraId="6C4451B1" w14:textId="77777777" w:rsidR="00BD1919" w:rsidRDefault="00000000">
      <w:pPr>
        <w:pStyle w:val="BodyText"/>
        <w:rPr>
          <w:rFonts w:ascii="Calibri" w:hAnsi="Calibri"/>
        </w:rPr>
      </w:pPr>
      <w:r>
        <w:rPr>
          <w:rFonts w:ascii="Calibri" w:hAnsi="Calibri" w:hint="eastAsia"/>
        </w:rPr>
        <w:t>[6]IALA S-201 Aids to Navigation Information Product Specification, Ed.</w:t>
      </w:r>
      <w:r>
        <w:rPr>
          <w:rFonts w:ascii="Calibri" w:eastAsia="SimSun" w:hAnsi="Calibri" w:hint="eastAsia"/>
          <w:lang w:val="en-US" w:eastAsia="zh-CN"/>
        </w:rPr>
        <w:t>2</w:t>
      </w:r>
      <w:r>
        <w:rPr>
          <w:rFonts w:ascii="Calibri" w:hAnsi="Calibri" w:hint="eastAsia"/>
        </w:rPr>
        <w:t>.</w:t>
      </w:r>
      <w:r>
        <w:rPr>
          <w:rFonts w:ascii="Calibri" w:eastAsia="SimSun" w:hAnsi="Calibri" w:hint="eastAsia"/>
          <w:lang w:val="en-US" w:eastAsia="zh-CN"/>
        </w:rPr>
        <w:t>0</w:t>
      </w:r>
      <w:r>
        <w:rPr>
          <w:rFonts w:ascii="Calibri" w:hAnsi="Calibri" w:hint="eastAsia"/>
        </w:rPr>
        <w:t>.0, 2025</w:t>
      </w:r>
    </w:p>
    <w:p w14:paraId="6C4451B2" w14:textId="77777777" w:rsidR="00BD1919" w:rsidRDefault="00000000">
      <w:pPr>
        <w:pStyle w:val="Heading1"/>
        <w:numPr>
          <w:ilvl w:val="0"/>
          <w:numId w:val="25"/>
        </w:numPr>
      </w:pPr>
      <w:r>
        <w:lastRenderedPageBreak/>
        <w:t>Background</w:t>
      </w:r>
    </w:p>
    <w:p w14:paraId="6C4451B3" w14:textId="77777777" w:rsidR="00BD1919" w:rsidRDefault="00000000">
      <w:pPr>
        <w:pStyle w:val="BodyText"/>
        <w:rPr>
          <w:rFonts w:ascii="Calibri" w:hAnsi="Calibri"/>
        </w:rPr>
      </w:pPr>
      <w:r>
        <w:rPr>
          <w:rFonts w:ascii="Calibri" w:hAnsi="Calibri" w:hint="eastAsia"/>
        </w:rPr>
        <w:t>VDES shore-based infrastructure facilitates data exchange between shipborne terminals and other shore-based users. Following traditional AIS shore-based practices, user interfaces typically rely on NMEA sentences to transmit AIS messages, which is development-intensive and error-prone. As VDES capabilities far exceed traditional AIS, continued reliance on low-level sentence-based interfaces would increase complexity and restrict the interaction of new data types.</w:t>
      </w:r>
    </w:p>
    <w:p w14:paraId="6C4451B4" w14:textId="77777777" w:rsidR="00BD1919" w:rsidRDefault="00000000">
      <w:pPr>
        <w:pStyle w:val="BodyText"/>
        <w:rPr>
          <w:rFonts w:ascii="Calibri" w:eastAsia="SimSun" w:hAnsi="Calibri"/>
          <w:lang w:val="en-US" w:eastAsia="zh-CN"/>
        </w:rPr>
      </w:pPr>
      <w:r>
        <w:rPr>
          <w:rFonts w:ascii="Calibri" w:hAnsi="Calibri" w:hint="eastAsia"/>
        </w:rPr>
        <w:t>Data modeled under S-100 provides standardized structures and semantic identifiers. Competent authorities and users can integrate such data directly into S-100-compliant systems, ensuring consistency and interoperability with other maritime services. Adopting a VDES data application protocol based on the S-100 model abstracts the underlying communication details, providing upper-layer users with a concise and consistent data view, thereby reducing integration difficulty and enhancing security.</w:t>
      </w:r>
    </w:p>
    <w:p w14:paraId="6C4451B5" w14:textId="77777777" w:rsidR="00BD1919" w:rsidRDefault="00000000">
      <w:pPr>
        <w:pStyle w:val="Heading1"/>
        <w:numPr>
          <w:ilvl w:val="0"/>
          <w:numId w:val="25"/>
        </w:numPr>
      </w:pPr>
      <w:r>
        <w:t>Discussion</w:t>
      </w:r>
    </w:p>
    <w:p w14:paraId="6C4451B6" w14:textId="77777777" w:rsidR="00BD1919" w:rsidRDefault="00000000">
      <w:pPr>
        <w:pStyle w:val="BodyText"/>
        <w:rPr>
          <w:rFonts w:ascii="Calibri" w:hAnsi="Calibri"/>
          <w:b/>
          <w:bCs/>
        </w:rPr>
      </w:pPr>
      <w:r>
        <w:rPr>
          <w:rFonts w:ascii="Calibri" w:hAnsi="Calibri" w:hint="eastAsia"/>
        </w:rPr>
        <w:t>This proposal provides the VDES Shore-based Service Interface Specification as an annex to the Guideline. This document primarily defines the data exchange standards between the VDES shore-based system and external business systems (e.g., VTS, Port Authorities). The main technical content includes:</w:t>
      </w:r>
    </w:p>
    <w:p w14:paraId="6C4451B7" w14:textId="77777777" w:rsidR="00BD1919" w:rsidRDefault="00000000">
      <w:pPr>
        <w:pStyle w:val="Bullet1"/>
        <w:suppressAutoHyphens/>
        <w:ind w:left="992" w:hanging="425"/>
      </w:pPr>
      <w:bookmarkStart w:id="0" w:name="_Hlk59199741"/>
      <w:r>
        <w:rPr>
          <w:rFonts w:hint="eastAsia"/>
        </w:rPr>
        <w:t>General Architecture</w:t>
      </w:r>
    </w:p>
    <w:p w14:paraId="6C4451B8" w14:textId="77777777" w:rsidR="00BD1919" w:rsidRDefault="00000000">
      <w:pPr>
        <w:pStyle w:val="Bullet1"/>
        <w:suppressAutoHyphens/>
        <w:ind w:left="992" w:hanging="425"/>
      </w:pPr>
      <w:r>
        <w:rPr>
          <w:rFonts w:hint="eastAsia"/>
        </w:rPr>
        <w:t>Data Model and S-100 Encapsulation</w:t>
      </w:r>
    </w:p>
    <w:p w14:paraId="6C4451B9" w14:textId="77777777" w:rsidR="00BD1919" w:rsidRDefault="00000000">
      <w:pPr>
        <w:pStyle w:val="Bullet1"/>
        <w:suppressAutoHyphens/>
        <w:ind w:left="992" w:hanging="425"/>
      </w:pPr>
      <w:r>
        <w:rPr>
          <w:rFonts w:hint="eastAsia"/>
        </w:rPr>
        <w:t>Interface Definitions</w:t>
      </w:r>
    </w:p>
    <w:p w14:paraId="6C4451BA" w14:textId="77777777" w:rsidR="00BD1919" w:rsidRDefault="00000000">
      <w:pPr>
        <w:pStyle w:val="Bullet1"/>
        <w:suppressAutoHyphens/>
        <w:ind w:left="992" w:hanging="425"/>
      </w:pPr>
      <w:r>
        <w:rPr>
          <w:rFonts w:hint="eastAsia"/>
        </w:rPr>
        <w:t>Security Mechanisms</w:t>
      </w:r>
    </w:p>
    <w:p w14:paraId="6C4451BB" w14:textId="77777777" w:rsidR="00BD1919" w:rsidRDefault="00000000">
      <w:pPr>
        <w:pStyle w:val="Bullet1"/>
        <w:suppressAutoHyphens/>
        <w:ind w:left="992" w:hanging="425"/>
      </w:pPr>
      <w:r>
        <w:rPr>
          <w:rFonts w:hint="eastAsia"/>
        </w:rPr>
        <w:t>Service Discovery</w:t>
      </w:r>
    </w:p>
    <w:p w14:paraId="6C4451BC" w14:textId="77777777" w:rsidR="00BD1919" w:rsidRDefault="00000000">
      <w:pPr>
        <w:rPr>
          <w:rFonts w:ascii="Calibri" w:hAnsi="Calibri"/>
          <w:sz w:val="22"/>
        </w:rPr>
      </w:pPr>
      <w:r>
        <w:rPr>
          <w:rFonts w:ascii="Calibri" w:hAnsi="Calibri" w:hint="eastAsia"/>
          <w:sz w:val="22"/>
        </w:rPr>
        <w:t>Specific chapter arrangements and technical requirements are detailed in the A</w:t>
      </w:r>
      <w:r>
        <w:rPr>
          <w:rFonts w:ascii="Calibri" w:eastAsia="SimSun" w:hAnsi="Calibri" w:hint="eastAsia"/>
          <w:sz w:val="22"/>
          <w:lang w:val="en-US" w:eastAsia="zh-CN"/>
        </w:rPr>
        <w:t>ppendix 1</w:t>
      </w:r>
      <w:r>
        <w:rPr>
          <w:rFonts w:ascii="Calibri" w:hAnsi="Calibri" w:hint="eastAsia"/>
          <w:sz w:val="22"/>
        </w:rPr>
        <w:t>.</w:t>
      </w:r>
    </w:p>
    <w:bookmarkEnd w:id="0"/>
    <w:p w14:paraId="6C4451BD" w14:textId="77777777" w:rsidR="00BD1919" w:rsidRDefault="00000000">
      <w:pPr>
        <w:pStyle w:val="Heading1"/>
        <w:numPr>
          <w:ilvl w:val="0"/>
          <w:numId w:val="25"/>
        </w:numPr>
      </w:pPr>
      <w:r>
        <w:t>Action requested of the Committee</w:t>
      </w:r>
    </w:p>
    <w:p w14:paraId="6C4451BE" w14:textId="77777777" w:rsidR="00BD1919" w:rsidRDefault="00000000">
      <w:pPr>
        <w:pStyle w:val="BodyText"/>
        <w:rPr>
          <w:rFonts w:ascii="Calibri" w:hAnsi="Calibri"/>
        </w:rPr>
      </w:pPr>
      <w:r>
        <w:rPr>
          <w:rFonts w:ascii="Calibri" w:hAnsi="Calibri"/>
        </w:rPr>
        <w:t>The Committee is requested to:</w:t>
      </w:r>
    </w:p>
    <w:p w14:paraId="6C4451BF" w14:textId="77777777" w:rsidR="00BD1919" w:rsidRDefault="00000000">
      <w:pPr>
        <w:pStyle w:val="BodyText"/>
        <w:rPr>
          <w:rFonts w:ascii="Calibri" w:hAnsi="Calibri"/>
        </w:rPr>
      </w:pPr>
      <w:r>
        <w:rPr>
          <w:rFonts w:ascii="Calibri" w:eastAsia="SimSun" w:hAnsi="Calibri" w:hint="eastAsia"/>
          <w:lang w:val="en-US" w:eastAsia="zh-CN"/>
        </w:rPr>
        <w:t>C</w:t>
      </w:r>
      <w:r>
        <w:rPr>
          <w:rFonts w:ascii="Calibri" w:hAnsi="Calibri" w:hint="eastAsia"/>
        </w:rPr>
        <w:t>onsider the draft framework of the VDES Shore-based Service Interface Specification, agree to include it as an independent annex to the Guideline, and continue its refinement in subsequent work.</w:t>
      </w:r>
    </w:p>
    <w:p w14:paraId="6C4451C0" w14:textId="77777777" w:rsidR="00BD1919" w:rsidRDefault="00BD1919">
      <w:pPr>
        <w:pStyle w:val="BodyText"/>
        <w:rPr>
          <w:rFonts w:ascii="Calibri" w:hAnsi="Calibri"/>
        </w:rPr>
      </w:pPr>
    </w:p>
    <w:p w14:paraId="6C4451C1" w14:textId="77777777" w:rsidR="00BD1919" w:rsidRDefault="00BD1919">
      <w:pPr>
        <w:pStyle w:val="BodyText"/>
        <w:rPr>
          <w:rFonts w:ascii="Calibri" w:hAnsi="Calibri"/>
        </w:rPr>
      </w:pPr>
    </w:p>
    <w:p w14:paraId="6C4451C2" w14:textId="77777777" w:rsidR="00BD1919" w:rsidRDefault="00BD1919">
      <w:pPr>
        <w:pStyle w:val="BodyText"/>
        <w:rPr>
          <w:rFonts w:ascii="Calibri" w:hAnsi="Calibri"/>
        </w:rPr>
        <w:sectPr w:rsidR="00BD1919">
          <w:footerReference w:type="default" r:id="rId11"/>
          <w:pgSz w:w="11906" w:h="16838"/>
          <w:pgMar w:top="1134" w:right="1134" w:bottom="1134" w:left="1134" w:header="709" w:footer="709" w:gutter="0"/>
          <w:cols w:space="708"/>
          <w:docGrid w:linePitch="360"/>
        </w:sectPr>
      </w:pPr>
    </w:p>
    <w:p w14:paraId="6C4451C3" w14:textId="77777777" w:rsidR="00BD1919" w:rsidRDefault="00000000">
      <w:pPr>
        <w:pStyle w:val="Appendix"/>
        <w:outlineLvl w:val="0"/>
        <w:rPr>
          <w:rFonts w:ascii="Calibri" w:hAnsi="Calibri"/>
        </w:rPr>
      </w:pPr>
      <w:r>
        <w:rPr>
          <w:rFonts w:ascii="Calibri" w:hAnsi="Calibri" w:hint="eastAsia"/>
        </w:rPr>
        <w:lastRenderedPageBreak/>
        <w:t>VDES Shore-based Service Interface Specification</w:t>
      </w:r>
    </w:p>
    <w:p w14:paraId="6C4451C4" w14:textId="77777777" w:rsidR="00BD1919" w:rsidRDefault="00000000">
      <w:pPr>
        <w:pStyle w:val="AppendixHead1"/>
        <w:outlineLvl w:val="0"/>
      </w:pPr>
      <w:r>
        <w:rPr>
          <w:rFonts w:hint="eastAsia"/>
        </w:rPr>
        <w:t>Scope</w:t>
      </w:r>
    </w:p>
    <w:p w14:paraId="6C4451C5" w14:textId="77777777" w:rsidR="00BD1919" w:rsidRDefault="00000000">
      <w:pPr>
        <w:pStyle w:val="AppendixHead2"/>
        <w:outlineLvl w:val="1"/>
      </w:pPr>
      <w:r>
        <w:rPr>
          <w:rFonts w:hint="eastAsia"/>
        </w:rPr>
        <w:t>Introduction</w:t>
      </w:r>
    </w:p>
    <w:p w14:paraId="6C4451C6" w14:textId="77777777" w:rsidR="00BD1919" w:rsidRDefault="00000000">
      <w:pPr>
        <w:pStyle w:val="BodyText"/>
      </w:pPr>
      <w:r>
        <w:rPr>
          <w:rFonts w:hint="eastAsia"/>
        </w:rPr>
        <w:t>To ensure VDES can efficiently serve the growing demand for maritime digitalization and to reduce the complexity for users accessing the VDES network, establishing a standardized and easily integrated service-layer data interface is crucial. This annex defines the data exchange interface specification between the VDES system and external users (e.g., VTS, Ports) or other external systems. This specification aims to shield users from low-level physical link details, providing a high-level service interface based on geospatial and business logic.</w:t>
      </w:r>
    </w:p>
    <w:p w14:paraId="6C4451C7" w14:textId="77777777" w:rsidR="00BD1919" w:rsidRDefault="00000000">
      <w:pPr>
        <w:pStyle w:val="AppendixHead2"/>
        <w:outlineLvl w:val="1"/>
      </w:pPr>
      <w:r>
        <w:rPr>
          <w:rFonts w:hint="eastAsia"/>
        </w:rPr>
        <w:t>Scope of the Specification</w:t>
      </w:r>
    </w:p>
    <w:p w14:paraId="6C4451C8" w14:textId="77777777" w:rsidR="00BD1919" w:rsidRDefault="00000000">
      <w:pPr>
        <w:pStyle w:val="BodyText"/>
      </w:pPr>
      <w:r>
        <w:rPr>
          <w:rFonts w:hint="eastAsia"/>
        </w:rPr>
        <w:t>This annex specifically specifies the following contents:</w:t>
      </w:r>
    </w:p>
    <w:p w14:paraId="6C4451C9" w14:textId="77777777" w:rsidR="00BD1919" w:rsidRDefault="00000000">
      <w:pPr>
        <w:pStyle w:val="AppendixHead3"/>
      </w:pPr>
      <w:r>
        <w:rPr>
          <w:rFonts w:hint="eastAsia"/>
        </w:rPr>
        <w:t>Data Model</w:t>
      </w:r>
    </w:p>
    <w:p w14:paraId="6C4451CA" w14:textId="77777777" w:rsidR="00BD1919" w:rsidRDefault="00000000">
      <w:pPr>
        <w:pStyle w:val="List1"/>
        <w:numPr>
          <w:ilvl w:val="0"/>
          <w:numId w:val="26"/>
        </w:numPr>
        <w:jc w:val="left"/>
        <w:rPr>
          <w:rFonts w:ascii="Calibri" w:hAnsi="Calibri" w:cs="Calibri"/>
        </w:rPr>
      </w:pPr>
      <w:r>
        <w:rPr>
          <w:rFonts w:ascii="Calibri" w:hAnsi="Calibri" w:cs="Calibri" w:hint="eastAsia"/>
        </w:rPr>
        <w:t>Defines S-100 Feature Classes for describing VDES transmission tasks, including content payloads, target objects (specific vessels or geographic areas), and business attributes.</w:t>
      </w:r>
    </w:p>
    <w:p w14:paraId="6C4451CB" w14:textId="77777777" w:rsidR="00BD1919" w:rsidRDefault="00000000">
      <w:pPr>
        <w:pStyle w:val="List1"/>
        <w:numPr>
          <w:ilvl w:val="0"/>
          <w:numId w:val="26"/>
        </w:numPr>
        <w:jc w:val="left"/>
        <w:rPr>
          <w:rFonts w:ascii="Calibri" w:hAnsi="Calibri" w:cs="Calibri"/>
        </w:rPr>
      </w:pPr>
      <w:r>
        <w:rPr>
          <w:rFonts w:ascii="Calibri" w:hAnsi="Calibri" w:cs="Calibri" w:hint="eastAsia"/>
        </w:rPr>
        <w:t>Defines data structures for reporting Transmission Status and Reception Reports.</w:t>
      </w:r>
    </w:p>
    <w:p w14:paraId="6C4451CC" w14:textId="77777777" w:rsidR="00BD1919" w:rsidRDefault="00000000">
      <w:pPr>
        <w:pStyle w:val="List1"/>
        <w:numPr>
          <w:ilvl w:val="0"/>
          <w:numId w:val="26"/>
        </w:numPr>
        <w:jc w:val="left"/>
        <w:rPr>
          <w:rFonts w:ascii="Calibri" w:hAnsi="Calibri" w:cs="Calibri"/>
        </w:rPr>
      </w:pPr>
      <w:r>
        <w:rPr>
          <w:rFonts w:ascii="Calibri" w:hAnsi="Calibri" w:cs="Calibri" w:hint="eastAsia"/>
        </w:rPr>
        <w:t>Defines complex attributes for controlling transmission behavior, such as scheduling strategies (time windows, periodicity) and channel preferences (ASM, VDE-TER, VDE-SAT).</w:t>
      </w:r>
    </w:p>
    <w:p w14:paraId="6C4451CD" w14:textId="77777777" w:rsidR="00BD1919" w:rsidRDefault="00000000">
      <w:pPr>
        <w:pStyle w:val="AppendixHead3"/>
      </w:pPr>
      <w:r>
        <w:rPr>
          <w:rFonts w:hint="eastAsia"/>
        </w:rPr>
        <w:t>Service Interaction</w:t>
      </w:r>
    </w:p>
    <w:p w14:paraId="6C4451CE" w14:textId="77777777" w:rsidR="00BD1919" w:rsidRDefault="00000000">
      <w:pPr>
        <w:pStyle w:val="List1"/>
        <w:numPr>
          <w:ilvl w:val="0"/>
          <w:numId w:val="27"/>
        </w:numPr>
        <w:jc w:val="left"/>
        <w:rPr>
          <w:rFonts w:ascii="Calibri" w:hAnsi="Calibri" w:cs="Calibri"/>
        </w:rPr>
      </w:pPr>
      <w:r>
        <w:rPr>
          <w:rFonts w:ascii="Calibri" w:hAnsi="Calibri" w:cs="Calibri" w:hint="eastAsia"/>
        </w:rPr>
        <w:t>Defines interaction logic based on "Publish/Subscribe" and "Request/Response" patterns.</w:t>
      </w:r>
    </w:p>
    <w:p w14:paraId="6C4451CF" w14:textId="77777777" w:rsidR="00BD1919" w:rsidRDefault="00000000">
      <w:pPr>
        <w:pStyle w:val="List1"/>
        <w:numPr>
          <w:ilvl w:val="0"/>
          <w:numId w:val="27"/>
        </w:numPr>
        <w:jc w:val="left"/>
        <w:rPr>
          <w:rFonts w:ascii="Calibri" w:hAnsi="Calibri" w:cs="Calibri"/>
        </w:rPr>
      </w:pPr>
      <w:r>
        <w:rPr>
          <w:rFonts w:ascii="Calibri" w:hAnsi="Calibri" w:cs="Calibri" w:hint="eastAsia"/>
        </w:rPr>
        <w:t>Specifies how to use Geography Markup Language (GML) to encode the aforementioned data models.</w:t>
      </w:r>
    </w:p>
    <w:p w14:paraId="6C4451D0" w14:textId="77777777" w:rsidR="00BD1919" w:rsidRDefault="00000000">
      <w:pPr>
        <w:pStyle w:val="AppendixHead3"/>
      </w:pPr>
      <w:r>
        <w:rPr>
          <w:rFonts w:hint="eastAsia"/>
        </w:rPr>
        <w:t>Underlying Mapping</w:t>
      </w:r>
    </w:p>
    <w:p w14:paraId="6C4451D1" w14:textId="77777777" w:rsidR="00BD1919" w:rsidRDefault="00000000">
      <w:pPr>
        <w:pStyle w:val="BodyText"/>
      </w:pPr>
      <w:r>
        <w:rPr>
          <w:rFonts w:hint="eastAsia"/>
        </w:rPr>
        <w:t>Describes how the high-level objects defined in this specification map to the underlying Presentation Interface (PI) sentences.</w:t>
      </w:r>
    </w:p>
    <w:p w14:paraId="6C4451D2" w14:textId="77777777" w:rsidR="00BD1919" w:rsidRDefault="00000000">
      <w:pPr>
        <w:pStyle w:val="BodyText"/>
        <w:rPr>
          <w:sz w:val="20"/>
          <w:szCs w:val="20"/>
        </w:rPr>
      </w:pPr>
      <w:r>
        <w:rPr>
          <w:rFonts w:hint="eastAsia"/>
          <w:sz w:val="20"/>
          <w:szCs w:val="20"/>
        </w:rPr>
        <w:t>Note: This specification does not redefine the VDES air interface or physical layer parameters; these contents are covered by ITU-R M.2092 and IEC test standards. This specification focuses on the exchange format of application-layer data before it enters the physical transmission queue.</w:t>
      </w:r>
    </w:p>
    <w:p w14:paraId="6C4451D3" w14:textId="77777777" w:rsidR="00BD1919" w:rsidRDefault="00000000">
      <w:pPr>
        <w:pStyle w:val="AppendixHead2"/>
        <w:outlineLvl w:val="1"/>
      </w:pPr>
      <w:r>
        <w:rPr>
          <w:rFonts w:hint="eastAsia"/>
        </w:rPr>
        <w:t>Applicable Entities</w:t>
      </w:r>
    </w:p>
    <w:p w14:paraId="6C4451D4" w14:textId="77777777" w:rsidR="00BD1919" w:rsidRDefault="00000000">
      <w:pPr>
        <w:pStyle w:val="AppendixHead3"/>
      </w:pPr>
      <w:r>
        <w:rPr>
          <w:rFonts w:hint="eastAsia"/>
        </w:rPr>
        <w:t>VDES Service</w:t>
      </w:r>
    </w:p>
    <w:p w14:paraId="6C4451D5" w14:textId="77777777" w:rsidR="00BD1919" w:rsidRDefault="00000000">
      <w:pPr>
        <w:pStyle w:val="BodyText"/>
      </w:pPr>
      <w:r>
        <w:rPr>
          <w:rFonts w:hint="eastAsia"/>
        </w:rPr>
        <w:t>The system responsible for implementing the</w:t>
      </w:r>
      <w:r>
        <w:rPr>
          <w:rFonts w:eastAsia="SimSun" w:hint="eastAsia"/>
          <w:lang w:val="en-US" w:eastAsia="zh-CN"/>
        </w:rPr>
        <w:t xml:space="preserve"> the server-side interface as defined in this specification. Its functions include receiving requests, parsing geospatial and scheduling constraints, and dynamically allocating physical base station (PSS) resources. It further converts these requests into Presentation Interface (PI) binary message structures for downlink to the physical equipment.</w:t>
      </w:r>
    </w:p>
    <w:p w14:paraId="6C4451D6" w14:textId="77777777" w:rsidR="00BD1919" w:rsidRDefault="00000000">
      <w:pPr>
        <w:pStyle w:val="AppendixHead3"/>
      </w:pPr>
      <w:r>
        <w:rPr>
          <w:rFonts w:hint="eastAsia"/>
        </w:rPr>
        <w:t>Service Consumers</w:t>
      </w:r>
    </w:p>
    <w:p w14:paraId="6C4451D7" w14:textId="77777777" w:rsidR="00BD1919" w:rsidRDefault="00000000">
      <w:pPr>
        <w:pStyle w:val="BodyText"/>
      </w:pPr>
      <w:r>
        <w:rPr>
          <w:rFonts w:hint="eastAsia"/>
        </w:rPr>
        <w:t>External business systems that need to communicate using VDES links. Typical users include but are not limited to:</w:t>
      </w:r>
    </w:p>
    <w:p w14:paraId="6C4451D8" w14:textId="77777777" w:rsidR="00BD1919" w:rsidRDefault="00000000">
      <w:pPr>
        <w:pStyle w:val="List1"/>
        <w:numPr>
          <w:ilvl w:val="0"/>
          <w:numId w:val="28"/>
        </w:numPr>
        <w:jc w:val="left"/>
        <w:rPr>
          <w:rFonts w:ascii="Calibri" w:hAnsi="Calibri" w:cs="Calibri"/>
        </w:rPr>
      </w:pPr>
      <w:r>
        <w:rPr>
          <w:rFonts w:ascii="Calibri" w:hAnsi="Calibri" w:cs="Calibri" w:hint="eastAsia"/>
        </w:rPr>
        <w:lastRenderedPageBreak/>
        <w:t>Vessel Traffic Services (VTS): Used for transmitting navigational advice, traffic organization instructions, and related information.</w:t>
      </w:r>
    </w:p>
    <w:p w14:paraId="6C4451D9" w14:textId="77777777" w:rsidR="00BD1919" w:rsidRDefault="00000000">
      <w:pPr>
        <w:pStyle w:val="List1"/>
        <w:numPr>
          <w:ilvl w:val="0"/>
          <w:numId w:val="28"/>
        </w:numPr>
        <w:jc w:val="left"/>
        <w:rPr>
          <w:rFonts w:ascii="Calibri" w:hAnsi="Calibri" w:cs="Calibri"/>
        </w:rPr>
      </w:pPr>
      <w:r>
        <w:rPr>
          <w:rFonts w:ascii="Calibri" w:hAnsi="Calibri" w:cs="Calibri" w:hint="eastAsia"/>
        </w:rPr>
        <w:t>Maritime Safety Information (MSI) Distribution Systems: Used for broadcasting weather warnings and navigational warnings in specific sea areas.</w:t>
      </w:r>
    </w:p>
    <w:p w14:paraId="6C4451DA" w14:textId="77777777" w:rsidR="00BD1919" w:rsidRDefault="00000000">
      <w:pPr>
        <w:pStyle w:val="List1"/>
        <w:numPr>
          <w:ilvl w:val="0"/>
          <w:numId w:val="28"/>
        </w:numPr>
        <w:jc w:val="left"/>
        <w:rPr>
          <w:rFonts w:ascii="Calibri" w:hAnsi="Calibri" w:cs="Calibri"/>
        </w:rPr>
      </w:pPr>
      <w:r>
        <w:rPr>
          <w:rFonts w:ascii="Calibri" w:hAnsi="Calibri" w:cs="Calibri" w:hint="eastAsia"/>
        </w:rPr>
        <w:t>Port and Logistics Enterprises: Used for sending berth plans and logistics updates to inbound vessels.</w:t>
      </w:r>
    </w:p>
    <w:p w14:paraId="6C4451DB" w14:textId="77777777" w:rsidR="00BD1919" w:rsidRDefault="00000000">
      <w:pPr>
        <w:pStyle w:val="List1"/>
        <w:numPr>
          <w:ilvl w:val="0"/>
          <w:numId w:val="28"/>
        </w:numPr>
        <w:jc w:val="left"/>
        <w:rPr>
          <w:rFonts w:ascii="Calibri" w:hAnsi="Calibri" w:cs="Calibri"/>
        </w:rPr>
      </w:pPr>
      <w:r>
        <w:rPr>
          <w:rFonts w:ascii="Calibri" w:hAnsi="Calibri" w:cs="Calibri" w:hint="eastAsia"/>
        </w:rPr>
        <w:t xml:space="preserve">Government Regulatory Platforms: </w:t>
      </w:r>
      <w:r>
        <w:rPr>
          <w:rFonts w:ascii="Calibri" w:eastAsia="SimSun" w:hAnsi="Calibri" w:cs="Calibri" w:hint="eastAsia"/>
          <w:lang w:val="en-US" w:eastAsia="zh-CN"/>
        </w:rPr>
        <w:t>U</w:t>
      </w:r>
      <w:r>
        <w:rPr>
          <w:rFonts w:ascii="Calibri" w:hAnsi="Calibri" w:cs="Calibri" w:hint="eastAsia"/>
        </w:rPr>
        <w:t>sed for acquiring ship reports and other regulatory data.</w:t>
      </w:r>
    </w:p>
    <w:p w14:paraId="6C4451DC" w14:textId="77777777" w:rsidR="00BD1919" w:rsidRDefault="00000000">
      <w:pPr>
        <w:pStyle w:val="AppendixHead2"/>
        <w:outlineLvl w:val="1"/>
      </w:pPr>
      <w:r>
        <w:rPr>
          <w:rFonts w:hint="eastAsia"/>
        </w:rPr>
        <w:t>Service Limitations</w:t>
      </w:r>
    </w:p>
    <w:p w14:paraId="6C4451DD" w14:textId="1765320F" w:rsidR="00BD1919" w:rsidRDefault="00000000">
      <w:pPr>
        <w:pStyle w:val="BodyText"/>
      </w:pPr>
      <w:r>
        <w:rPr>
          <w:rFonts w:hint="eastAsia"/>
        </w:rPr>
        <w:t>This specification assumes that the VDES service possesses topology awareness and unified scheduling capabilities for the underlying physical base station network.</w:t>
      </w:r>
    </w:p>
    <w:p w14:paraId="6C4451DE" w14:textId="77777777" w:rsidR="00BD1919" w:rsidRDefault="00000000">
      <w:pPr>
        <w:pStyle w:val="BodyText"/>
      </w:pPr>
      <w:r>
        <w:rPr>
          <w:rFonts w:hint="eastAsia"/>
        </w:rPr>
        <w:t>Due to the stochastic nature of the radio channel, successful reception by the terminal cannot be confirmed unless an acknowledgment (ACK) mechanism is enabled.</w:t>
      </w:r>
    </w:p>
    <w:p w14:paraId="6C4451DF" w14:textId="77777777" w:rsidR="00BD1919" w:rsidRDefault="00000000">
      <w:pPr>
        <w:pStyle w:val="AppendixHead1"/>
        <w:outlineLvl w:val="0"/>
      </w:pPr>
      <w:r>
        <w:rPr>
          <w:rFonts w:hint="eastAsia"/>
        </w:rPr>
        <w:t>Normative References</w:t>
      </w:r>
    </w:p>
    <w:p w14:paraId="6C4451E0" w14:textId="77777777" w:rsidR="00BD1919" w:rsidRDefault="00000000">
      <w:pPr>
        <w:pStyle w:val="Reference"/>
        <w:numPr>
          <w:ilvl w:val="0"/>
          <w:numId w:val="29"/>
        </w:numPr>
        <w:rPr>
          <w:rFonts w:ascii="Calibri" w:hAnsi="Calibri" w:cs="Calibri"/>
        </w:rPr>
      </w:pPr>
      <w:r>
        <w:rPr>
          <w:rFonts w:ascii="Calibri" w:hAnsi="Calibri" w:cs="Calibri" w:hint="eastAsia"/>
        </w:rPr>
        <w:t>IEC 63514 - VDES Technical requirements</w:t>
      </w:r>
    </w:p>
    <w:p w14:paraId="6C4451E1" w14:textId="77777777" w:rsidR="00BD1919" w:rsidRDefault="00000000">
      <w:pPr>
        <w:pStyle w:val="Reference"/>
        <w:numPr>
          <w:ilvl w:val="0"/>
          <w:numId w:val="29"/>
        </w:numPr>
        <w:rPr>
          <w:rFonts w:ascii="Calibri" w:hAnsi="Calibri" w:cs="Calibri"/>
        </w:rPr>
      </w:pPr>
      <w:r>
        <w:rPr>
          <w:rFonts w:ascii="Calibri" w:hAnsi="Calibri" w:cs="Calibri" w:hint="eastAsia"/>
        </w:rPr>
        <w:t>ITU-R M.2092 - VDES Technical characteristics</w:t>
      </w:r>
    </w:p>
    <w:p w14:paraId="6C4451E2" w14:textId="77777777" w:rsidR="00BD1919" w:rsidRDefault="00000000">
      <w:pPr>
        <w:pStyle w:val="Reference"/>
        <w:numPr>
          <w:ilvl w:val="0"/>
          <w:numId w:val="29"/>
        </w:numPr>
        <w:rPr>
          <w:rFonts w:ascii="Calibri" w:hAnsi="Calibri" w:cs="Calibri"/>
        </w:rPr>
      </w:pPr>
      <w:r>
        <w:rPr>
          <w:rFonts w:ascii="Calibri" w:hAnsi="Calibri" w:cs="Calibri" w:hint="eastAsia"/>
        </w:rPr>
        <w:t>IALA G-1117 - VDES Overview</w:t>
      </w:r>
    </w:p>
    <w:p w14:paraId="6C4451E3" w14:textId="77777777" w:rsidR="00BD1919" w:rsidRDefault="00000000">
      <w:pPr>
        <w:pStyle w:val="Reference"/>
        <w:numPr>
          <w:ilvl w:val="0"/>
          <w:numId w:val="29"/>
        </w:numPr>
        <w:rPr>
          <w:rFonts w:ascii="Calibri" w:hAnsi="Calibri" w:cs="Calibri"/>
        </w:rPr>
      </w:pPr>
      <w:r>
        <w:rPr>
          <w:rFonts w:ascii="Calibri" w:hAnsi="Calibri" w:cs="Calibri" w:hint="eastAsia"/>
        </w:rPr>
        <w:t>IHO S-100 Ed. 5.2.0 - Universal Hydrographic Data Model</w:t>
      </w:r>
    </w:p>
    <w:p w14:paraId="6C4451E4" w14:textId="77777777" w:rsidR="00BD1919" w:rsidRDefault="00000000">
      <w:pPr>
        <w:pStyle w:val="AppendixHead1"/>
        <w:outlineLvl w:val="0"/>
      </w:pPr>
      <w:r>
        <w:rPr>
          <w:rFonts w:hint="eastAsia"/>
        </w:rPr>
        <w:t>Terms, Definitions and Abbreviations</w:t>
      </w:r>
    </w:p>
    <w:p w14:paraId="6C4451E5" w14:textId="77777777" w:rsidR="00BD1919" w:rsidRDefault="00000000">
      <w:pPr>
        <w:pStyle w:val="BodyText"/>
        <w:rPr>
          <w:rFonts w:ascii="Calibri" w:eastAsia="Times New Roman" w:hAnsi="Calibri" w:cs="Calibri"/>
        </w:rPr>
      </w:pPr>
      <w:r>
        <w:rPr>
          <w:rFonts w:hint="eastAsia"/>
          <w:lang w:eastAsia="en-GB"/>
        </w:rPr>
        <w:t>TBD</w:t>
      </w:r>
    </w:p>
    <w:p w14:paraId="6C4451E6" w14:textId="77777777" w:rsidR="00BD1919" w:rsidRDefault="00000000">
      <w:pPr>
        <w:pStyle w:val="AppendixHead1"/>
        <w:outlineLvl w:val="0"/>
        <w:rPr>
          <w:rFonts w:ascii="Calibri" w:eastAsia="Times New Roman" w:hAnsi="Calibri" w:cs="Calibri"/>
        </w:rPr>
      </w:pPr>
      <w:r>
        <w:rPr>
          <w:rFonts w:ascii="Calibri" w:eastAsia="Times New Roman" w:hAnsi="Calibri" w:cs="Calibri" w:hint="eastAsia"/>
        </w:rPr>
        <w:t>General Architecture</w:t>
      </w:r>
    </w:p>
    <w:p w14:paraId="6C4451E7" w14:textId="77777777" w:rsidR="00BD1919" w:rsidRDefault="00000000">
      <w:pPr>
        <w:pStyle w:val="AppendixHead2"/>
        <w:rPr>
          <w:rFonts w:eastAsiaTheme="minorHAnsi" w:cstheme="minorBidi"/>
          <w:szCs w:val="22"/>
          <w:lang w:eastAsia="en-US"/>
        </w:rPr>
      </w:pPr>
      <w:r>
        <w:rPr>
          <w:rFonts w:hint="eastAsia"/>
          <w:lang w:eastAsia="en-US"/>
        </w:rPr>
        <w:t>Overview</w:t>
      </w:r>
    </w:p>
    <w:p w14:paraId="6C4451E8" w14:textId="77777777" w:rsidR="00BD1919" w:rsidRDefault="00000000">
      <w:pPr>
        <w:pStyle w:val="BodyText"/>
        <w:jc w:val="left"/>
        <w:rPr>
          <w:lang w:val="en-US" w:eastAsia="zh-CN"/>
        </w:rPr>
      </w:pPr>
      <w:r>
        <w:rPr>
          <w:rFonts w:hint="eastAsia"/>
          <w:lang w:val="en-US" w:eastAsia="zh-CN"/>
        </w:rPr>
        <w:t>The interface defined in this document is positioned between the user system and the VDES service, primarily facilitating the interaction between users and the VDES Logical Shore Station (VDES-LSS).</w:t>
      </w:r>
    </w:p>
    <w:p w14:paraId="6C4451E9" w14:textId="77777777" w:rsidR="00BD1919" w:rsidRDefault="00000000">
      <w:pPr>
        <w:pStyle w:val="BodyText"/>
        <w:jc w:val="left"/>
        <w:rPr>
          <w:lang w:val="en-US" w:eastAsia="zh-CN"/>
        </w:rPr>
      </w:pPr>
      <w:r>
        <w:rPr>
          <w:rFonts w:hint="eastAsia"/>
          <w:lang w:val="en-US" w:eastAsia="zh-CN"/>
        </w:rPr>
        <w:t>This architecture aims to achieve the following objectives:</w:t>
      </w:r>
    </w:p>
    <w:p w14:paraId="6C4451EA" w14:textId="77777777" w:rsidR="00BD1919" w:rsidRDefault="00000000">
      <w:pPr>
        <w:pStyle w:val="List1"/>
        <w:numPr>
          <w:ilvl w:val="0"/>
          <w:numId w:val="30"/>
        </w:numPr>
        <w:jc w:val="left"/>
        <w:rPr>
          <w:lang w:val="en-US" w:eastAsia="zh-CN"/>
        </w:rPr>
      </w:pPr>
      <w:r>
        <w:rPr>
          <w:rFonts w:hint="eastAsia"/>
          <w:lang w:val="en-US" w:eastAsia="zh-CN"/>
        </w:rPr>
        <w:t>Interoperability: Utilizing IEC 63173-2 (SECOM) as a unified interface to encapsulate S-100 based data formats, ensuring that user systems from various vendors can seamlessly access the VDES network.</w:t>
      </w:r>
    </w:p>
    <w:p w14:paraId="6C4451EB" w14:textId="77777777" w:rsidR="00BD1919" w:rsidRDefault="00000000">
      <w:pPr>
        <w:pStyle w:val="List1"/>
        <w:numPr>
          <w:ilvl w:val="0"/>
          <w:numId w:val="30"/>
        </w:numPr>
        <w:jc w:val="left"/>
        <w:rPr>
          <w:lang w:val="en-US" w:eastAsia="zh-CN"/>
        </w:rPr>
      </w:pPr>
      <w:r>
        <w:rPr>
          <w:rFonts w:hint="eastAsia"/>
          <w:lang w:val="en-US" w:eastAsia="zh-CN"/>
        </w:rPr>
        <w:t>End-to-End Security: Implementing dual signature and multi-layer encryption mechanisms to ensure the confidentiality and integrity of data throughout the entire path from the shore-based user to the shipborne terminal.</w:t>
      </w:r>
    </w:p>
    <w:p w14:paraId="6C4451EC" w14:textId="77777777" w:rsidR="00BD1919" w:rsidRDefault="00000000">
      <w:pPr>
        <w:pStyle w:val="List1"/>
        <w:numPr>
          <w:ilvl w:val="0"/>
          <w:numId w:val="30"/>
        </w:numPr>
        <w:jc w:val="left"/>
        <w:rPr>
          <w:lang w:val="en-US" w:eastAsia="zh-CN"/>
        </w:rPr>
      </w:pPr>
      <w:r>
        <w:rPr>
          <w:rFonts w:hint="eastAsia"/>
          <w:lang w:val="en-US" w:eastAsia="zh-CN"/>
        </w:rPr>
        <w:t>Compatibility: Supporting both real-time interaction over IP networks and store-and-forward interaction via the Maritime Messaging Service (MMS).</w:t>
      </w:r>
    </w:p>
    <w:p w14:paraId="6C4451ED" w14:textId="77777777" w:rsidR="00BD1919" w:rsidRDefault="00000000">
      <w:pPr>
        <w:pStyle w:val="AppendixHead2"/>
        <w:outlineLvl w:val="1"/>
        <w:rPr>
          <w:lang w:val="en-US" w:eastAsia="zh-CN"/>
        </w:rPr>
      </w:pPr>
      <w:r>
        <w:rPr>
          <w:rFonts w:hint="eastAsia"/>
          <w:lang w:val="en-US" w:eastAsia="zh-CN"/>
        </w:rPr>
        <w:t>System Components</w:t>
      </w:r>
    </w:p>
    <w:p w14:paraId="6C4451EE" w14:textId="77777777" w:rsidR="00BD1919" w:rsidRDefault="00000000">
      <w:pPr>
        <w:pStyle w:val="BodyText"/>
        <w:jc w:val="left"/>
        <w:rPr>
          <w:lang w:val="en-US" w:eastAsia="zh-CN"/>
        </w:rPr>
      </w:pPr>
      <w:r>
        <w:rPr>
          <w:lang w:val="en-US" w:eastAsia="zh-CN"/>
        </w:rPr>
        <w:t>The system architecture consists of the following core components:</w:t>
      </w:r>
    </w:p>
    <w:p w14:paraId="6C4451EF" w14:textId="77777777" w:rsidR="00BD1919" w:rsidRDefault="00000000">
      <w:pPr>
        <w:pStyle w:val="AppendixHead3"/>
        <w:rPr>
          <w:lang w:val="en-US" w:eastAsia="zh-CN"/>
        </w:rPr>
      </w:pPr>
      <w:r>
        <w:rPr>
          <w:rFonts w:hint="eastAsia"/>
          <w:lang w:val="en-US" w:eastAsia="zh-CN"/>
        </w:rPr>
        <w:lastRenderedPageBreak/>
        <w:t>User</w:t>
      </w:r>
    </w:p>
    <w:p w14:paraId="6C4451F0" w14:textId="77777777" w:rsidR="00BD1919" w:rsidRDefault="00000000">
      <w:pPr>
        <w:pStyle w:val="BodyText"/>
        <w:jc w:val="left"/>
        <w:rPr>
          <w:lang w:val="en-US" w:eastAsia="zh-CN"/>
        </w:rPr>
      </w:pPr>
      <w:r>
        <w:rPr>
          <w:lang w:val="en-US" w:eastAsia="zh-CN"/>
        </w:rPr>
        <w:t>Definition: External systems (e.g., VTS, shipping companies, meteorological service providers) that need to transmit or receive data via VDES.</w:t>
      </w:r>
    </w:p>
    <w:p w14:paraId="6C4451F1" w14:textId="77777777" w:rsidR="00BD1919" w:rsidRDefault="00000000">
      <w:pPr>
        <w:pStyle w:val="BodyText"/>
        <w:jc w:val="left"/>
        <w:rPr>
          <w:lang w:val="en-US" w:eastAsia="zh-CN"/>
        </w:rPr>
      </w:pPr>
      <w:r>
        <w:rPr>
          <w:lang w:val="en-US" w:eastAsia="zh-CN"/>
        </w:rPr>
        <w:t>Role: Acts as a Consumer or a Data Client.</w:t>
      </w:r>
    </w:p>
    <w:p w14:paraId="6C4451F2" w14:textId="77777777" w:rsidR="00BD1919" w:rsidRDefault="00000000">
      <w:pPr>
        <w:pStyle w:val="BodyText"/>
        <w:jc w:val="left"/>
        <w:rPr>
          <w:lang w:val="en-US" w:eastAsia="zh-CN"/>
        </w:rPr>
      </w:pPr>
      <w:r>
        <w:rPr>
          <w:lang w:val="en-US" w:eastAsia="zh-CN"/>
        </w:rPr>
        <w:t>Relationship Mapping: Corresponds to the Clients connected to the VDES-LSS via the External Interface.</w:t>
      </w:r>
    </w:p>
    <w:p w14:paraId="6C4451F3" w14:textId="77777777" w:rsidR="00BD1919" w:rsidRDefault="00000000">
      <w:pPr>
        <w:pStyle w:val="AppendixHead3"/>
        <w:rPr>
          <w:lang w:val="en-US" w:eastAsia="zh-CN"/>
        </w:rPr>
      </w:pPr>
      <w:r>
        <w:rPr>
          <w:rFonts w:hint="eastAsia"/>
          <w:lang w:val="en-US" w:eastAsia="zh-CN"/>
        </w:rPr>
        <w:t>VDES Logical Shore Station (VDES-LSS)</w:t>
      </w:r>
    </w:p>
    <w:p w14:paraId="6C4451F4" w14:textId="77777777" w:rsidR="00BD1919" w:rsidRDefault="00000000">
      <w:pPr>
        <w:pStyle w:val="BodyText"/>
        <w:jc w:val="left"/>
        <w:rPr>
          <w:lang w:val="en-US" w:eastAsia="zh-CN"/>
        </w:rPr>
      </w:pPr>
      <w:r>
        <w:rPr>
          <w:lang w:val="en-US" w:eastAsia="zh-CN"/>
        </w:rPr>
        <w:t>Definition: The core data routing component of the VDES shore-based system, responsible for filtering, converting, and routing data.</w:t>
      </w:r>
    </w:p>
    <w:p w14:paraId="6C4451F5" w14:textId="77777777" w:rsidR="00BD1919" w:rsidRDefault="00000000">
      <w:pPr>
        <w:pStyle w:val="BodyText"/>
        <w:jc w:val="left"/>
        <w:rPr>
          <w:lang w:val="en-US" w:eastAsia="zh-CN"/>
        </w:rPr>
      </w:pPr>
      <w:r>
        <w:rPr>
          <w:lang w:val="en-US" w:eastAsia="zh-CN"/>
        </w:rPr>
        <w:t>Role: Acts as a Provider or a Data Server, exposing RESTful APIs to external entities.</w:t>
      </w:r>
    </w:p>
    <w:p w14:paraId="6C4451F6" w14:textId="77777777" w:rsidR="00BD1919" w:rsidRDefault="00000000">
      <w:pPr>
        <w:pStyle w:val="BodyText"/>
        <w:jc w:val="left"/>
        <w:rPr>
          <w:lang w:val="en-US" w:eastAsia="zh-CN"/>
        </w:rPr>
      </w:pPr>
      <w:r>
        <w:rPr>
          <w:lang w:val="en-US" w:eastAsia="zh-CN"/>
        </w:rPr>
        <w:t>Function: Serves as the access point for users, abstracting the complexity of the underlying Physical Shore Station (PSS) and the VHF Data Link (VDL).</w:t>
      </w:r>
    </w:p>
    <w:p w14:paraId="6C4451F7" w14:textId="77777777" w:rsidR="00BD1919" w:rsidRDefault="00000000">
      <w:pPr>
        <w:pStyle w:val="AppendixHead2"/>
        <w:outlineLvl w:val="1"/>
        <w:rPr>
          <w:lang w:val="en-US" w:eastAsia="zh-CN"/>
        </w:rPr>
      </w:pPr>
      <w:r>
        <w:rPr>
          <w:rFonts w:hint="eastAsia"/>
          <w:lang w:val="en-US" w:eastAsia="zh-CN"/>
        </w:rPr>
        <w:t>Direct IP Interaction based on SECOM</w:t>
      </w:r>
    </w:p>
    <w:p w14:paraId="6C4451F8" w14:textId="77777777" w:rsidR="00BD1919" w:rsidRDefault="00000000">
      <w:pPr>
        <w:pStyle w:val="BodyText"/>
        <w:jc w:val="left"/>
        <w:rPr>
          <w:lang w:val="en-US" w:eastAsia="zh-CN"/>
        </w:rPr>
      </w:pPr>
      <w:r>
        <w:rPr>
          <w:lang w:val="en-US" w:eastAsia="zh-CN"/>
        </w:rPr>
        <w:t>This is the preferred mode, suitable for scenarios involving a direct connection between the user and the VDES-LSS.</w:t>
      </w:r>
    </w:p>
    <w:p w14:paraId="6C4451F9" w14:textId="77777777" w:rsidR="00BD1919" w:rsidRDefault="00000000">
      <w:pPr>
        <w:pStyle w:val="AppendixHead3"/>
        <w:rPr>
          <w:lang w:val="en-US" w:eastAsia="zh-CN"/>
        </w:rPr>
      </w:pPr>
      <w:r>
        <w:rPr>
          <w:rFonts w:hint="eastAsia"/>
          <w:lang w:val="en-US" w:eastAsia="zh-CN"/>
        </w:rPr>
        <w:t>Architecture Description</w:t>
      </w:r>
    </w:p>
    <w:p w14:paraId="6C4451FA" w14:textId="77777777" w:rsidR="00BD1919" w:rsidRDefault="00000000">
      <w:pPr>
        <w:pStyle w:val="BodyText"/>
        <w:jc w:val="left"/>
        <w:rPr>
          <w:lang w:val="en-US" w:eastAsia="zh-CN"/>
        </w:rPr>
      </w:pPr>
      <w:r>
        <w:rPr>
          <w:lang w:val="en-US" w:eastAsia="zh-CN"/>
        </w:rPr>
        <w:t>Shore-based users directly invoke the SECOM interfaces (HTTPS) exposed by the VDES-LSS. Upon receiving the data, the VDES-LSS converts it into the VDES Presentation Interface (PI) binary message structure according to internal logic. It then schedules the Physical Shore Station (PSS) for transmission to the vessel via the VDES-PCU (Physical Control Unit).</w:t>
      </w:r>
    </w:p>
    <w:p w14:paraId="6C4451FB" w14:textId="77777777" w:rsidR="00BD1919" w:rsidRDefault="00000000">
      <w:pPr>
        <w:pStyle w:val="AppendixHead3"/>
        <w:rPr>
          <w:lang w:val="en-US" w:eastAsia="zh-CN"/>
        </w:rPr>
      </w:pPr>
      <w:r>
        <w:rPr>
          <w:rFonts w:hint="eastAsia"/>
          <w:lang w:val="en-US" w:eastAsia="zh-CN"/>
        </w:rPr>
        <w:t>Protocol Stack and Data Encapsulation</w:t>
      </w:r>
    </w:p>
    <w:p w14:paraId="6C4451FC" w14:textId="77777777" w:rsidR="00BD1919" w:rsidRDefault="00000000">
      <w:pPr>
        <w:pStyle w:val="List1"/>
        <w:numPr>
          <w:ilvl w:val="0"/>
          <w:numId w:val="31"/>
        </w:numPr>
        <w:jc w:val="left"/>
        <w:rPr>
          <w:lang w:val="en-US" w:eastAsia="zh-CN"/>
        </w:rPr>
      </w:pPr>
      <w:r>
        <w:rPr>
          <w:lang w:val="en-US" w:eastAsia="zh-CN"/>
        </w:rPr>
        <w:t>Transport Layer: HTTP/1.1 over TLS 1.2/1.3. Mutual TLS (mTLS) must be implemented to ensure the legitimacy of the user identity.</w:t>
      </w:r>
    </w:p>
    <w:p w14:paraId="6C4451FD" w14:textId="77777777" w:rsidR="00BD1919" w:rsidRDefault="00000000">
      <w:pPr>
        <w:pStyle w:val="List1"/>
        <w:numPr>
          <w:ilvl w:val="0"/>
          <w:numId w:val="31"/>
        </w:numPr>
        <w:jc w:val="left"/>
        <w:rPr>
          <w:lang w:val="en-US" w:eastAsia="zh-CN"/>
        </w:rPr>
      </w:pPr>
      <w:r>
        <w:rPr>
          <w:rFonts w:hint="eastAsia"/>
          <w:lang w:val="en-US" w:eastAsia="zh-CN"/>
        </w:rPr>
        <w:t>Application Layer:</w:t>
      </w:r>
    </w:p>
    <w:p w14:paraId="6C4451FE" w14:textId="77777777" w:rsidR="00BD1919" w:rsidRDefault="00000000">
      <w:pPr>
        <w:pStyle w:val="Lista"/>
        <w:numPr>
          <w:ilvl w:val="1"/>
          <w:numId w:val="32"/>
        </w:numPr>
        <w:jc w:val="left"/>
        <w:rPr>
          <w:lang w:val="en-US" w:eastAsia="zh-CN"/>
        </w:rPr>
      </w:pPr>
      <w:r>
        <w:rPr>
          <w:rFonts w:hint="eastAsia"/>
          <w:lang w:val="en-US" w:eastAsia="zh-CN"/>
        </w:rPr>
        <w:t>Interface Protocol: IEC 63173-2 SECOM RESTful API.</w:t>
      </w:r>
    </w:p>
    <w:p w14:paraId="6C4451FF" w14:textId="77777777" w:rsidR="00BD1919" w:rsidRDefault="00000000">
      <w:pPr>
        <w:pStyle w:val="Lista"/>
        <w:numPr>
          <w:ilvl w:val="1"/>
          <w:numId w:val="32"/>
        </w:numPr>
        <w:jc w:val="left"/>
        <w:rPr>
          <w:lang w:val="en-US" w:eastAsia="zh-CN"/>
        </w:rPr>
      </w:pPr>
      <w:r>
        <w:rPr>
          <w:rFonts w:hint="eastAsia"/>
          <w:lang w:val="en-US" w:eastAsia="zh-CN"/>
        </w:rPr>
        <w:t xml:space="preserve"> Payload Format: S-100 Dataset.</w:t>
      </w:r>
    </w:p>
    <w:p w14:paraId="6C445200" w14:textId="77777777" w:rsidR="00BD1919" w:rsidRDefault="00000000">
      <w:pPr>
        <w:pStyle w:val="Lista"/>
        <w:numPr>
          <w:ilvl w:val="1"/>
          <w:numId w:val="32"/>
        </w:numPr>
        <w:jc w:val="left"/>
        <w:rPr>
          <w:lang w:val="en-US" w:eastAsia="zh-CN"/>
        </w:rPr>
      </w:pPr>
      <w:r>
        <w:rPr>
          <w:rFonts w:hint="eastAsia"/>
          <w:lang w:val="en-US" w:eastAsia="zh-CN"/>
        </w:rPr>
        <w:t>Encryption Protection: S-100 payloads are encrypted using AES-256 (optional, depending on data sensitivity).</w:t>
      </w:r>
    </w:p>
    <w:p w14:paraId="6C445201" w14:textId="77777777" w:rsidR="00BD1919" w:rsidRDefault="00000000">
      <w:pPr>
        <w:pStyle w:val="Lista"/>
        <w:numPr>
          <w:ilvl w:val="1"/>
          <w:numId w:val="32"/>
        </w:numPr>
        <w:jc w:val="left"/>
        <w:rPr>
          <w:lang w:val="en-US" w:eastAsia="zh-CN"/>
        </w:rPr>
      </w:pPr>
      <w:r>
        <w:rPr>
          <w:rFonts w:hint="eastAsia"/>
          <w:lang w:val="en-US" w:eastAsia="zh-CN"/>
        </w:rPr>
        <w:t>Signature Protection (Dual Signature):</w:t>
      </w:r>
    </w:p>
    <w:p w14:paraId="6C445202" w14:textId="77777777" w:rsidR="00BD1919" w:rsidRDefault="00000000">
      <w:pPr>
        <w:pStyle w:val="Bullet1"/>
        <w:ind w:left="992" w:hanging="425"/>
        <w:rPr>
          <w:lang w:val="en-US" w:eastAsia="zh-CN"/>
        </w:rPr>
      </w:pPr>
      <w:r>
        <w:rPr>
          <w:rFonts w:hint="eastAsia"/>
          <w:lang w:val="en-US" w:eastAsia="zh-CN"/>
        </w:rPr>
        <w:t>Data Signature: The data generator (user) signs the original S-100 content to ensure data traceability and non-repudiation.</w:t>
      </w:r>
    </w:p>
    <w:p w14:paraId="6C445203" w14:textId="77777777" w:rsidR="00BD1919" w:rsidRDefault="00000000">
      <w:pPr>
        <w:pStyle w:val="Bullet1"/>
        <w:ind w:left="992" w:hanging="425"/>
        <w:rPr>
          <w:lang w:val="en-US" w:eastAsia="zh-CN"/>
        </w:rPr>
      </w:pPr>
      <w:r>
        <w:rPr>
          <w:rFonts w:hint="eastAsia"/>
          <w:lang w:val="en-US" w:eastAsia="zh-CN"/>
        </w:rPr>
        <w:t>Envelope Signature: The SECOM transport layer signs both the metadata and the payload as a whole to ensure transmission integrity.</w:t>
      </w:r>
    </w:p>
    <w:p w14:paraId="6C445204" w14:textId="77777777" w:rsidR="00BD1919" w:rsidRDefault="00000000">
      <w:pPr>
        <w:pStyle w:val="AppendixHead2"/>
        <w:outlineLvl w:val="1"/>
        <w:rPr>
          <w:lang w:val="en-US" w:eastAsia="zh-CN"/>
        </w:rPr>
      </w:pPr>
      <w:r>
        <w:rPr>
          <w:rFonts w:hint="eastAsia"/>
          <w:lang w:val="en-US" w:eastAsia="zh-CN"/>
        </w:rPr>
        <w:t>Interaction based on MMS Gateway</w:t>
      </w:r>
    </w:p>
    <w:p w14:paraId="6C445205" w14:textId="77777777" w:rsidR="00BD1919" w:rsidRDefault="00000000">
      <w:pPr>
        <w:pStyle w:val="BodyText"/>
        <w:jc w:val="left"/>
        <w:rPr>
          <w:lang w:val="en-US" w:eastAsia="zh-CN"/>
        </w:rPr>
      </w:pPr>
      <w:r>
        <w:rPr>
          <w:lang w:val="en-US" w:eastAsia="zh-CN"/>
        </w:rPr>
        <w:t>This path is applicable to scenarios involving store-and-forward communication between the user and the VDES-LSS via the Maritime Messaging Service (MMS).</w:t>
      </w:r>
    </w:p>
    <w:p w14:paraId="6C445206" w14:textId="77777777" w:rsidR="00BD1919" w:rsidRDefault="00000000">
      <w:pPr>
        <w:pStyle w:val="BodyText"/>
        <w:jc w:val="left"/>
        <w:rPr>
          <w:lang w:val="en-US" w:eastAsia="zh-CN"/>
        </w:rPr>
      </w:pPr>
      <w:r>
        <w:rPr>
          <w:lang w:val="en-US" w:eastAsia="zh-CN"/>
        </w:rPr>
        <w:lastRenderedPageBreak/>
        <w:t>In this mode, the VDES shore-based system acts as an MMS VDE-TER Gateway within the MMS network. Users access the system through the MMS gateway.</w:t>
      </w:r>
    </w:p>
    <w:p w14:paraId="6C445207" w14:textId="77777777" w:rsidR="00BD1919" w:rsidRDefault="00000000">
      <w:pPr>
        <w:pStyle w:val="BodyText"/>
        <w:jc w:val="left"/>
        <w:rPr>
          <w:lang w:val="en-US" w:eastAsia="zh-CN"/>
        </w:rPr>
      </w:pPr>
      <w:r>
        <w:rPr>
          <w:lang w:val="en-US" w:eastAsia="zh-CN"/>
        </w:rPr>
        <w:t>The specific architectural description is as follows:</w:t>
      </w:r>
    </w:p>
    <w:p w14:paraId="6C445208" w14:textId="77777777" w:rsidR="00BD1919" w:rsidRDefault="00000000">
      <w:pPr>
        <w:pStyle w:val="List1"/>
        <w:numPr>
          <w:ilvl w:val="0"/>
          <w:numId w:val="33"/>
        </w:numPr>
        <w:jc w:val="left"/>
        <w:rPr>
          <w:lang w:val="en-US" w:eastAsia="zh-CN"/>
        </w:rPr>
      </w:pPr>
      <w:r>
        <w:rPr>
          <w:rFonts w:hint="eastAsia"/>
          <w:lang w:val="en-US" w:eastAsia="zh-CN"/>
        </w:rPr>
        <w:t>The user sends a request to the MMS SECOM Gateway.</w:t>
      </w:r>
    </w:p>
    <w:p w14:paraId="6C445209" w14:textId="77777777" w:rsidR="00BD1919" w:rsidRDefault="00000000">
      <w:pPr>
        <w:pStyle w:val="List1"/>
        <w:numPr>
          <w:ilvl w:val="0"/>
          <w:numId w:val="33"/>
        </w:numPr>
        <w:jc w:val="left"/>
        <w:rPr>
          <w:lang w:val="en-US" w:eastAsia="zh-CN"/>
        </w:rPr>
      </w:pPr>
      <w:r>
        <w:rPr>
          <w:rFonts w:hint="eastAsia"/>
          <w:lang w:val="en-US" w:eastAsia="zh-CN"/>
        </w:rPr>
        <w:t>The MMS SECOM Gateway verifies the envelope signature and extracts the S-100 payload.</w:t>
      </w:r>
    </w:p>
    <w:p w14:paraId="6C44520A" w14:textId="77777777" w:rsidR="00BD1919" w:rsidRDefault="00000000">
      <w:pPr>
        <w:pStyle w:val="List1"/>
        <w:numPr>
          <w:ilvl w:val="0"/>
          <w:numId w:val="33"/>
        </w:numPr>
        <w:jc w:val="left"/>
        <w:rPr>
          <w:lang w:val="en-US" w:eastAsia="zh-CN"/>
        </w:rPr>
      </w:pPr>
      <w:r>
        <w:rPr>
          <w:rFonts w:hint="eastAsia"/>
          <w:lang w:val="en-US" w:eastAsia="zh-CN"/>
        </w:rPr>
        <w:t>The payload is encapsulated into SMMP (Security Layer) and MMTP (Transport Layer) protocol packets.</w:t>
      </w:r>
    </w:p>
    <w:p w14:paraId="6C44520B" w14:textId="77777777" w:rsidR="00BD1919" w:rsidRDefault="00000000">
      <w:pPr>
        <w:pStyle w:val="List1"/>
        <w:numPr>
          <w:ilvl w:val="0"/>
          <w:numId w:val="33"/>
        </w:numPr>
        <w:jc w:val="left"/>
        <w:rPr>
          <w:lang w:val="en-US" w:eastAsia="zh-CN"/>
        </w:rPr>
      </w:pPr>
      <w:r>
        <w:rPr>
          <w:rFonts w:hint="eastAsia"/>
          <w:lang w:val="en-US" w:eastAsia="zh-CN"/>
        </w:rPr>
        <w:t>The data packets are transmitted to the VDES-LSS via the MMS router network.</w:t>
      </w:r>
    </w:p>
    <w:p w14:paraId="6C44520C" w14:textId="77777777" w:rsidR="00BD1919" w:rsidRDefault="00000000">
      <w:pPr>
        <w:pStyle w:val="List1"/>
        <w:numPr>
          <w:ilvl w:val="0"/>
          <w:numId w:val="33"/>
        </w:numPr>
        <w:jc w:val="left"/>
        <w:rPr>
          <w:lang w:val="en-US" w:eastAsia="zh-CN"/>
        </w:rPr>
      </w:pPr>
      <w:r>
        <w:rPr>
          <w:rFonts w:hint="eastAsia"/>
          <w:lang w:val="en-US" w:eastAsia="zh-CN"/>
        </w:rPr>
        <w:t>The VDES-LSS parses the MMTP packets, converts them into the VDES Presentation Interface (PI) binary message structure, and schedules the physical base station for transmission to the vessel via the VDES-PCU.</w:t>
      </w:r>
    </w:p>
    <w:p w14:paraId="6C44520D" w14:textId="77777777" w:rsidR="00BD1919" w:rsidRDefault="00000000">
      <w:pPr>
        <w:pStyle w:val="AppendixHead1"/>
      </w:pPr>
      <w:r>
        <w:rPr>
          <w:rFonts w:hint="eastAsia"/>
        </w:rPr>
        <w:t xml:space="preserve">Data </w:t>
      </w:r>
      <w:r>
        <w:rPr>
          <w:rFonts w:ascii="Calibri" w:eastAsia="Times New Roman" w:hAnsi="Calibri" w:cs="Calibri" w:hint="eastAsia"/>
        </w:rPr>
        <w:t xml:space="preserve">Model </w:t>
      </w:r>
      <w:r>
        <w:rPr>
          <w:rFonts w:hint="eastAsia"/>
        </w:rPr>
        <w:t>and S-100 Encapsulation Definition</w:t>
      </w:r>
    </w:p>
    <w:p w14:paraId="6C44520E" w14:textId="77777777" w:rsidR="00BD1919" w:rsidRDefault="00000000">
      <w:pPr>
        <w:pStyle w:val="AppendixHead2"/>
      </w:pPr>
      <w:r>
        <w:rPr>
          <w:rFonts w:hint="eastAsia"/>
        </w:rPr>
        <w:t>VDES Message S-100 Product Specification</w:t>
      </w:r>
    </w:p>
    <w:p w14:paraId="6C44520F" w14:textId="77777777" w:rsidR="00BD1919" w:rsidRDefault="00000000">
      <w:pPr>
        <w:pStyle w:val="BodyText"/>
      </w:pPr>
      <w:r>
        <w:rPr>
          <w:rFonts w:hint="eastAsia"/>
        </w:rPr>
        <w:t>This section defines a dedicated S-100 Product Specification designed to encapsulate VDES data and signaling.</w:t>
      </w:r>
    </w:p>
    <w:p w14:paraId="6C445210" w14:textId="77777777" w:rsidR="00BD1919" w:rsidRDefault="00000000">
      <w:pPr>
        <w:pStyle w:val="AppendixHead3"/>
      </w:pPr>
      <w:r>
        <w:rPr>
          <w:rFonts w:hint="eastAsia"/>
        </w:rPr>
        <w:t>ASM Transmission</w:t>
      </w:r>
    </w:p>
    <w:p w14:paraId="6C445211" w14:textId="77777777" w:rsidR="00BD1919" w:rsidRDefault="00000000">
      <w:pPr>
        <w:pStyle w:val="Tablecaption"/>
      </w:pPr>
      <w:r>
        <w:rPr>
          <w:rFonts w:hint="eastAsia"/>
        </w:rPr>
        <w:t xml:space="preserve"> ASM Transmission Data Structure</w:t>
      </w:r>
    </w:p>
    <w:tbl>
      <w:tblPr>
        <w:tblW w:w="4999" w:type="pct"/>
        <w:tblLook w:val="04A0" w:firstRow="1" w:lastRow="0" w:firstColumn="1" w:lastColumn="0" w:noHBand="0" w:noVBand="1"/>
      </w:tblPr>
      <w:tblGrid>
        <w:gridCol w:w="1837"/>
        <w:gridCol w:w="927"/>
        <w:gridCol w:w="6071"/>
      </w:tblGrid>
      <w:tr w:rsidR="00BD1919" w14:paraId="6C445215" w14:textId="77777777">
        <w:trPr>
          <w:trHeight w:val="270"/>
        </w:trPr>
        <w:tc>
          <w:tcPr>
            <w:tcW w:w="911" w:type="pct"/>
            <w:tcBorders>
              <w:top w:val="single" w:sz="4" w:space="0" w:color="000000"/>
              <w:left w:val="single" w:sz="4" w:space="0" w:color="000000"/>
              <w:bottom w:val="single" w:sz="4" w:space="0" w:color="000000"/>
              <w:right w:val="single" w:sz="4" w:space="0" w:color="000000"/>
            </w:tcBorders>
            <w:noWrap/>
            <w:vAlign w:val="center"/>
          </w:tcPr>
          <w:p w14:paraId="6C445212" w14:textId="77777777" w:rsidR="00BD1919" w:rsidRDefault="00000000">
            <w:pPr>
              <w:pStyle w:val="Tableheading"/>
              <w:jc w:val="left"/>
              <w:textAlignment w:val="center"/>
              <w:rPr>
                <w:lang w:eastAsia="zh-CN"/>
              </w:rPr>
            </w:pPr>
            <w:r>
              <w:rPr>
                <w:rFonts w:hint="eastAsia"/>
                <w:lang w:eastAsia="zh-CN" w:bidi="ar"/>
              </w:rPr>
              <w:t>Field</w:t>
            </w:r>
          </w:p>
        </w:tc>
        <w:tc>
          <w:tcPr>
            <w:tcW w:w="2012" w:type="pct"/>
            <w:tcBorders>
              <w:top w:val="single" w:sz="4" w:space="0" w:color="000000"/>
              <w:left w:val="single" w:sz="4" w:space="0" w:color="000000"/>
              <w:bottom w:val="single" w:sz="4" w:space="0" w:color="000000"/>
              <w:right w:val="single" w:sz="4" w:space="0" w:color="000000"/>
            </w:tcBorders>
            <w:noWrap/>
            <w:vAlign w:val="center"/>
          </w:tcPr>
          <w:p w14:paraId="6C445213" w14:textId="77777777" w:rsidR="00BD1919" w:rsidRDefault="00000000">
            <w:pPr>
              <w:pStyle w:val="Tableheading"/>
              <w:jc w:val="left"/>
              <w:textAlignment w:val="center"/>
              <w:rPr>
                <w:lang w:eastAsia="zh-CN"/>
              </w:rPr>
            </w:pPr>
            <w:r>
              <w:rPr>
                <w:rFonts w:hint="eastAsia"/>
                <w:lang w:eastAsia="zh-CN" w:bidi="ar"/>
              </w:rPr>
              <w:t>Type</w:t>
            </w:r>
          </w:p>
        </w:tc>
        <w:tc>
          <w:tcPr>
            <w:tcW w:w="2076" w:type="pct"/>
            <w:tcBorders>
              <w:top w:val="single" w:sz="4" w:space="0" w:color="000000"/>
              <w:left w:val="single" w:sz="4" w:space="0" w:color="000000"/>
              <w:bottom w:val="single" w:sz="4" w:space="0" w:color="000000"/>
              <w:right w:val="single" w:sz="4" w:space="0" w:color="000000"/>
            </w:tcBorders>
            <w:noWrap/>
            <w:vAlign w:val="center"/>
          </w:tcPr>
          <w:p w14:paraId="6C445214" w14:textId="77777777" w:rsidR="00BD1919" w:rsidRDefault="00000000">
            <w:pPr>
              <w:pStyle w:val="Tableheading"/>
              <w:jc w:val="left"/>
              <w:textAlignment w:val="center"/>
              <w:rPr>
                <w:lang w:eastAsia="zh-CN"/>
              </w:rPr>
            </w:pPr>
            <w:r>
              <w:rPr>
                <w:rFonts w:hint="eastAsia"/>
                <w:lang w:eastAsia="zh-CN" w:bidi="ar"/>
              </w:rPr>
              <w:t>Description</w:t>
            </w:r>
          </w:p>
        </w:tc>
      </w:tr>
      <w:tr w:rsidR="00BD1919" w14:paraId="6C445219" w14:textId="77777777">
        <w:trPr>
          <w:trHeight w:val="270"/>
        </w:trPr>
        <w:tc>
          <w:tcPr>
            <w:tcW w:w="911" w:type="pct"/>
            <w:tcBorders>
              <w:top w:val="single" w:sz="4" w:space="0" w:color="000000"/>
              <w:left w:val="single" w:sz="4" w:space="0" w:color="000000"/>
              <w:bottom w:val="single" w:sz="4" w:space="0" w:color="000000"/>
              <w:right w:val="single" w:sz="4" w:space="0" w:color="000000"/>
            </w:tcBorders>
            <w:noWrap/>
            <w:vAlign w:val="center"/>
          </w:tcPr>
          <w:p w14:paraId="6C445216" w14:textId="77777777" w:rsidR="00BD1919" w:rsidRDefault="00000000">
            <w:pPr>
              <w:pStyle w:val="Tabletext"/>
              <w:jc w:val="center"/>
              <w:textAlignment w:val="center"/>
              <w:rPr>
                <w:lang w:val="en-US" w:eastAsia="zh-CN"/>
              </w:rPr>
            </w:pPr>
            <w:r>
              <w:rPr>
                <w:lang w:val="en-US" w:eastAsia="zh-CN" w:bidi="ar"/>
              </w:rPr>
              <w:t>Message Sequence ID</w:t>
            </w:r>
          </w:p>
        </w:tc>
        <w:tc>
          <w:tcPr>
            <w:tcW w:w="2012" w:type="pct"/>
            <w:tcBorders>
              <w:top w:val="single" w:sz="4" w:space="0" w:color="000000"/>
              <w:left w:val="single" w:sz="4" w:space="0" w:color="000000"/>
              <w:bottom w:val="single" w:sz="4" w:space="0" w:color="000000"/>
              <w:right w:val="single" w:sz="4" w:space="0" w:color="000000"/>
            </w:tcBorders>
            <w:noWrap/>
            <w:vAlign w:val="center"/>
          </w:tcPr>
          <w:p w14:paraId="6C445217" w14:textId="77777777" w:rsidR="00BD1919" w:rsidRDefault="00000000">
            <w:pPr>
              <w:pStyle w:val="Tabletext"/>
              <w:jc w:val="center"/>
              <w:textAlignment w:val="center"/>
              <w:rPr>
                <w:lang w:val="en-US" w:eastAsia="zh-CN"/>
              </w:rPr>
            </w:pPr>
            <w:r>
              <w:rPr>
                <w:lang w:val="en-US" w:eastAsia="zh-CN" w:bidi="ar"/>
              </w:rPr>
              <w:t>String</w:t>
            </w:r>
          </w:p>
        </w:tc>
        <w:tc>
          <w:tcPr>
            <w:tcW w:w="2076" w:type="pct"/>
            <w:tcBorders>
              <w:top w:val="single" w:sz="4" w:space="0" w:color="000000"/>
              <w:left w:val="single" w:sz="4" w:space="0" w:color="000000"/>
              <w:bottom w:val="single" w:sz="4" w:space="0" w:color="000000"/>
              <w:right w:val="single" w:sz="4" w:space="0" w:color="000000"/>
            </w:tcBorders>
            <w:noWrap/>
            <w:vAlign w:val="center"/>
          </w:tcPr>
          <w:p w14:paraId="6C445218" w14:textId="77777777" w:rsidR="00BD1919" w:rsidRDefault="00000000">
            <w:pPr>
              <w:pStyle w:val="Tabletext"/>
              <w:jc w:val="center"/>
              <w:textAlignment w:val="center"/>
              <w:rPr>
                <w:lang w:val="en-US" w:eastAsia="zh-CN"/>
              </w:rPr>
            </w:pPr>
            <w:r>
              <w:rPr>
                <w:lang w:val="en-US" w:eastAsia="zh-CN" w:bidi="ar"/>
              </w:rPr>
              <w:t>A unique identifier used for deduplication and sequencing.</w:t>
            </w:r>
          </w:p>
        </w:tc>
      </w:tr>
      <w:tr w:rsidR="00BD1919" w14:paraId="6C44521D" w14:textId="77777777">
        <w:trPr>
          <w:trHeight w:val="270"/>
        </w:trPr>
        <w:tc>
          <w:tcPr>
            <w:tcW w:w="911" w:type="pct"/>
            <w:tcBorders>
              <w:top w:val="single" w:sz="4" w:space="0" w:color="000000"/>
              <w:left w:val="single" w:sz="4" w:space="0" w:color="000000"/>
              <w:bottom w:val="single" w:sz="4" w:space="0" w:color="000000"/>
              <w:right w:val="single" w:sz="4" w:space="0" w:color="000000"/>
            </w:tcBorders>
            <w:noWrap/>
            <w:vAlign w:val="center"/>
          </w:tcPr>
          <w:p w14:paraId="6C44521A" w14:textId="77777777" w:rsidR="00BD1919" w:rsidRDefault="00000000">
            <w:pPr>
              <w:pStyle w:val="Tabletext"/>
              <w:jc w:val="center"/>
              <w:textAlignment w:val="center"/>
              <w:rPr>
                <w:lang w:val="en-US" w:eastAsia="zh-CN"/>
              </w:rPr>
            </w:pPr>
            <w:r>
              <w:rPr>
                <w:lang w:val="en-US" w:eastAsia="zh-CN" w:bidi="ar"/>
              </w:rPr>
              <w:t>Source ID (MRN)</w:t>
            </w:r>
          </w:p>
        </w:tc>
        <w:tc>
          <w:tcPr>
            <w:tcW w:w="2012" w:type="pct"/>
            <w:tcBorders>
              <w:top w:val="single" w:sz="4" w:space="0" w:color="000000"/>
              <w:left w:val="single" w:sz="4" w:space="0" w:color="000000"/>
              <w:bottom w:val="single" w:sz="4" w:space="0" w:color="000000"/>
              <w:right w:val="single" w:sz="4" w:space="0" w:color="000000"/>
            </w:tcBorders>
            <w:noWrap/>
            <w:vAlign w:val="center"/>
          </w:tcPr>
          <w:p w14:paraId="6C44521B" w14:textId="77777777" w:rsidR="00BD1919" w:rsidRDefault="00000000">
            <w:pPr>
              <w:pStyle w:val="Tabletext"/>
              <w:jc w:val="center"/>
              <w:textAlignment w:val="center"/>
              <w:rPr>
                <w:lang w:val="en-US" w:eastAsia="zh-CN"/>
              </w:rPr>
            </w:pPr>
            <w:r>
              <w:rPr>
                <w:lang w:val="en-US" w:eastAsia="zh-CN" w:bidi="ar"/>
              </w:rPr>
              <w:t>String</w:t>
            </w:r>
          </w:p>
        </w:tc>
        <w:tc>
          <w:tcPr>
            <w:tcW w:w="2076" w:type="pct"/>
            <w:tcBorders>
              <w:top w:val="single" w:sz="4" w:space="0" w:color="000000"/>
              <w:left w:val="single" w:sz="4" w:space="0" w:color="000000"/>
              <w:bottom w:val="single" w:sz="4" w:space="0" w:color="000000"/>
              <w:right w:val="single" w:sz="4" w:space="0" w:color="000000"/>
            </w:tcBorders>
            <w:noWrap/>
            <w:vAlign w:val="center"/>
          </w:tcPr>
          <w:p w14:paraId="6C44521C" w14:textId="77777777" w:rsidR="00BD1919" w:rsidRDefault="00000000">
            <w:pPr>
              <w:pStyle w:val="Tabletext"/>
              <w:jc w:val="center"/>
              <w:textAlignment w:val="center"/>
              <w:rPr>
                <w:lang w:val="en-US" w:eastAsia="zh-CN"/>
              </w:rPr>
            </w:pPr>
            <w:r>
              <w:rPr>
                <w:lang w:val="en-US" w:eastAsia="zh-CN" w:bidi="ar"/>
              </w:rPr>
              <w:t>The Maritime Resource Name (MRN) of the sender.</w:t>
            </w:r>
          </w:p>
        </w:tc>
      </w:tr>
      <w:tr w:rsidR="00BD1919" w14:paraId="6C445221" w14:textId="77777777">
        <w:trPr>
          <w:trHeight w:val="270"/>
        </w:trPr>
        <w:tc>
          <w:tcPr>
            <w:tcW w:w="911" w:type="pct"/>
            <w:tcBorders>
              <w:top w:val="single" w:sz="4" w:space="0" w:color="000000"/>
              <w:left w:val="single" w:sz="4" w:space="0" w:color="000000"/>
              <w:bottom w:val="single" w:sz="4" w:space="0" w:color="000000"/>
              <w:right w:val="single" w:sz="4" w:space="0" w:color="000000"/>
            </w:tcBorders>
            <w:noWrap/>
            <w:vAlign w:val="center"/>
          </w:tcPr>
          <w:p w14:paraId="6C44521E" w14:textId="77777777" w:rsidR="00BD1919" w:rsidRDefault="00000000">
            <w:pPr>
              <w:pStyle w:val="Tabletext"/>
              <w:jc w:val="center"/>
              <w:textAlignment w:val="center"/>
              <w:rPr>
                <w:lang w:val="en-US" w:eastAsia="zh-CN"/>
              </w:rPr>
            </w:pPr>
            <w:r>
              <w:rPr>
                <w:lang w:val="en-US" w:eastAsia="zh-CN" w:bidi="ar"/>
              </w:rPr>
              <w:t>Destination ID (MMSI)</w:t>
            </w:r>
          </w:p>
        </w:tc>
        <w:tc>
          <w:tcPr>
            <w:tcW w:w="2012" w:type="pct"/>
            <w:tcBorders>
              <w:top w:val="single" w:sz="4" w:space="0" w:color="000000"/>
              <w:left w:val="single" w:sz="4" w:space="0" w:color="000000"/>
              <w:bottom w:val="single" w:sz="4" w:space="0" w:color="000000"/>
              <w:right w:val="single" w:sz="4" w:space="0" w:color="000000"/>
            </w:tcBorders>
            <w:noWrap/>
            <w:vAlign w:val="center"/>
          </w:tcPr>
          <w:p w14:paraId="6C44521F" w14:textId="77777777" w:rsidR="00BD1919" w:rsidRDefault="00000000">
            <w:pPr>
              <w:pStyle w:val="Tabletext"/>
              <w:jc w:val="center"/>
              <w:textAlignment w:val="center"/>
              <w:rPr>
                <w:lang w:val="en-US" w:eastAsia="zh-CN"/>
              </w:rPr>
            </w:pPr>
            <w:r>
              <w:rPr>
                <w:lang w:val="en-US" w:eastAsia="zh-CN" w:bidi="ar"/>
              </w:rPr>
              <w:t>String</w:t>
            </w:r>
          </w:p>
        </w:tc>
        <w:tc>
          <w:tcPr>
            <w:tcW w:w="2076" w:type="pct"/>
            <w:tcBorders>
              <w:top w:val="single" w:sz="4" w:space="0" w:color="000000"/>
              <w:left w:val="single" w:sz="4" w:space="0" w:color="000000"/>
              <w:bottom w:val="single" w:sz="4" w:space="0" w:color="000000"/>
              <w:right w:val="single" w:sz="4" w:space="0" w:color="000000"/>
            </w:tcBorders>
            <w:noWrap/>
            <w:vAlign w:val="center"/>
          </w:tcPr>
          <w:p w14:paraId="6C445220" w14:textId="77777777" w:rsidR="00BD1919" w:rsidRDefault="00000000">
            <w:pPr>
              <w:pStyle w:val="Tabletext"/>
              <w:jc w:val="center"/>
              <w:textAlignment w:val="center"/>
              <w:rPr>
                <w:lang w:val="en-US" w:eastAsia="zh-CN"/>
              </w:rPr>
            </w:pPr>
            <w:r>
              <w:rPr>
                <w:lang w:val="en-US" w:eastAsia="zh-CN" w:bidi="ar"/>
              </w:rPr>
              <w:t>The MMSI or MRN of the receiver (specific values are used for broadcasting).</w:t>
            </w:r>
          </w:p>
        </w:tc>
      </w:tr>
      <w:tr w:rsidR="00BD1919" w14:paraId="6C445225" w14:textId="77777777">
        <w:trPr>
          <w:trHeight w:val="270"/>
        </w:trPr>
        <w:tc>
          <w:tcPr>
            <w:tcW w:w="911" w:type="pct"/>
            <w:tcBorders>
              <w:top w:val="single" w:sz="4" w:space="0" w:color="000000"/>
              <w:left w:val="single" w:sz="4" w:space="0" w:color="000000"/>
              <w:bottom w:val="single" w:sz="4" w:space="0" w:color="000000"/>
              <w:right w:val="single" w:sz="4" w:space="0" w:color="000000"/>
            </w:tcBorders>
            <w:noWrap/>
            <w:vAlign w:val="center"/>
          </w:tcPr>
          <w:p w14:paraId="6C445222" w14:textId="77777777" w:rsidR="00BD1919" w:rsidRDefault="00000000">
            <w:pPr>
              <w:pStyle w:val="Tabletext"/>
              <w:jc w:val="center"/>
              <w:textAlignment w:val="center"/>
              <w:rPr>
                <w:lang w:val="en-US" w:eastAsia="zh-CN"/>
              </w:rPr>
            </w:pPr>
            <w:r>
              <w:rPr>
                <w:lang w:val="en-US" w:eastAsia="zh-CN" w:bidi="ar"/>
              </w:rPr>
              <w:t>Destination ID (MRN)</w:t>
            </w:r>
          </w:p>
        </w:tc>
        <w:tc>
          <w:tcPr>
            <w:tcW w:w="2012" w:type="pct"/>
            <w:tcBorders>
              <w:top w:val="single" w:sz="4" w:space="0" w:color="000000"/>
              <w:left w:val="single" w:sz="4" w:space="0" w:color="000000"/>
              <w:bottom w:val="single" w:sz="4" w:space="0" w:color="000000"/>
              <w:right w:val="single" w:sz="4" w:space="0" w:color="000000"/>
            </w:tcBorders>
            <w:noWrap/>
            <w:vAlign w:val="center"/>
          </w:tcPr>
          <w:p w14:paraId="6C445223" w14:textId="77777777" w:rsidR="00BD1919" w:rsidRDefault="00000000">
            <w:pPr>
              <w:pStyle w:val="Tabletext"/>
              <w:jc w:val="center"/>
              <w:textAlignment w:val="center"/>
              <w:rPr>
                <w:lang w:val="en-US" w:eastAsia="zh-CN"/>
              </w:rPr>
            </w:pPr>
            <w:r>
              <w:rPr>
                <w:lang w:val="en-US" w:eastAsia="zh-CN" w:bidi="ar"/>
              </w:rPr>
              <w:t>String</w:t>
            </w:r>
          </w:p>
        </w:tc>
        <w:tc>
          <w:tcPr>
            <w:tcW w:w="2076" w:type="pct"/>
            <w:tcBorders>
              <w:top w:val="single" w:sz="4" w:space="0" w:color="000000"/>
              <w:left w:val="single" w:sz="4" w:space="0" w:color="000000"/>
              <w:bottom w:val="single" w:sz="4" w:space="0" w:color="000000"/>
              <w:right w:val="single" w:sz="4" w:space="0" w:color="000000"/>
            </w:tcBorders>
            <w:noWrap/>
            <w:vAlign w:val="center"/>
          </w:tcPr>
          <w:p w14:paraId="6C445224" w14:textId="77777777" w:rsidR="00BD1919" w:rsidRDefault="00000000">
            <w:pPr>
              <w:pStyle w:val="Tabletext"/>
              <w:jc w:val="center"/>
              <w:textAlignment w:val="center"/>
              <w:rPr>
                <w:lang w:val="en-US" w:eastAsia="zh-CN"/>
              </w:rPr>
            </w:pPr>
            <w:r>
              <w:rPr>
                <w:lang w:val="en-US" w:eastAsia="zh-CN" w:bidi="ar"/>
              </w:rPr>
              <w:t>The Maritime Resource Name (MRN) of the receiver.</w:t>
            </w:r>
          </w:p>
        </w:tc>
      </w:tr>
      <w:tr w:rsidR="00BD1919" w14:paraId="6C445229" w14:textId="77777777">
        <w:trPr>
          <w:trHeight w:val="270"/>
        </w:trPr>
        <w:tc>
          <w:tcPr>
            <w:tcW w:w="911" w:type="pct"/>
            <w:tcBorders>
              <w:top w:val="single" w:sz="4" w:space="0" w:color="000000"/>
              <w:left w:val="single" w:sz="4" w:space="0" w:color="000000"/>
              <w:bottom w:val="single" w:sz="4" w:space="0" w:color="000000"/>
              <w:right w:val="single" w:sz="4" w:space="0" w:color="000000"/>
            </w:tcBorders>
            <w:noWrap/>
            <w:vAlign w:val="center"/>
          </w:tcPr>
          <w:p w14:paraId="6C445226" w14:textId="77777777" w:rsidR="00BD1919" w:rsidRDefault="00000000">
            <w:pPr>
              <w:pStyle w:val="Tabletext"/>
              <w:jc w:val="center"/>
              <w:textAlignment w:val="center"/>
              <w:rPr>
                <w:lang w:val="en-US" w:eastAsia="zh-CN"/>
              </w:rPr>
            </w:pPr>
            <w:r>
              <w:rPr>
                <w:lang w:val="en-US" w:eastAsia="zh-CN" w:bidi="ar"/>
              </w:rPr>
              <w:t>ASM Channel</w:t>
            </w:r>
          </w:p>
        </w:tc>
        <w:tc>
          <w:tcPr>
            <w:tcW w:w="2012" w:type="pct"/>
            <w:tcBorders>
              <w:top w:val="single" w:sz="4" w:space="0" w:color="000000"/>
              <w:left w:val="single" w:sz="4" w:space="0" w:color="000000"/>
              <w:bottom w:val="single" w:sz="4" w:space="0" w:color="000000"/>
              <w:right w:val="single" w:sz="4" w:space="0" w:color="000000"/>
            </w:tcBorders>
            <w:noWrap/>
            <w:vAlign w:val="center"/>
          </w:tcPr>
          <w:p w14:paraId="6C445227" w14:textId="77777777" w:rsidR="00BD1919" w:rsidRDefault="00000000">
            <w:pPr>
              <w:pStyle w:val="Tabletext"/>
              <w:jc w:val="center"/>
              <w:textAlignment w:val="center"/>
              <w:rPr>
                <w:lang w:val="en-US" w:eastAsia="zh-CN"/>
              </w:rPr>
            </w:pPr>
            <w:r>
              <w:rPr>
                <w:lang w:val="en-US" w:eastAsia="zh-CN" w:bidi="ar"/>
              </w:rPr>
              <w:t>Boolean</w:t>
            </w:r>
          </w:p>
        </w:tc>
        <w:tc>
          <w:tcPr>
            <w:tcW w:w="2076" w:type="pct"/>
            <w:tcBorders>
              <w:top w:val="single" w:sz="4" w:space="0" w:color="000000"/>
              <w:left w:val="single" w:sz="4" w:space="0" w:color="000000"/>
              <w:bottom w:val="single" w:sz="4" w:space="0" w:color="000000"/>
              <w:right w:val="single" w:sz="4" w:space="0" w:color="000000"/>
            </w:tcBorders>
            <w:noWrap/>
            <w:vAlign w:val="center"/>
          </w:tcPr>
          <w:p w14:paraId="6C445228" w14:textId="77777777" w:rsidR="00BD1919" w:rsidRDefault="00000000">
            <w:pPr>
              <w:pStyle w:val="Tabletext"/>
              <w:jc w:val="center"/>
              <w:textAlignment w:val="center"/>
              <w:rPr>
                <w:lang w:val="en-US" w:eastAsia="zh-CN"/>
              </w:rPr>
            </w:pPr>
            <w:r>
              <w:rPr>
                <w:lang w:val="en-US" w:eastAsia="zh-CN" w:bidi="ar"/>
              </w:rPr>
              <w:t>Specifies the physical channel used for transmission (e.g., ASM1, ASM2, etc.).</w:t>
            </w:r>
          </w:p>
        </w:tc>
      </w:tr>
      <w:tr w:rsidR="00BD1919" w14:paraId="6C44522D" w14:textId="77777777">
        <w:trPr>
          <w:trHeight w:val="270"/>
        </w:trPr>
        <w:tc>
          <w:tcPr>
            <w:tcW w:w="911" w:type="pct"/>
            <w:tcBorders>
              <w:top w:val="single" w:sz="4" w:space="0" w:color="000000"/>
              <w:left w:val="single" w:sz="4" w:space="0" w:color="000000"/>
              <w:bottom w:val="single" w:sz="4" w:space="0" w:color="000000"/>
              <w:right w:val="single" w:sz="4" w:space="0" w:color="000000"/>
            </w:tcBorders>
            <w:noWrap/>
            <w:vAlign w:val="center"/>
          </w:tcPr>
          <w:p w14:paraId="6C44522A" w14:textId="77777777" w:rsidR="00BD1919" w:rsidRDefault="00000000">
            <w:pPr>
              <w:pStyle w:val="Tabletext"/>
              <w:jc w:val="center"/>
              <w:textAlignment w:val="center"/>
              <w:rPr>
                <w:lang w:val="en-US" w:eastAsia="zh-CN"/>
              </w:rPr>
            </w:pPr>
            <w:r>
              <w:rPr>
                <w:lang w:val="en-US" w:eastAsia="zh-CN" w:bidi="ar"/>
              </w:rPr>
              <w:t>Format</w:t>
            </w:r>
          </w:p>
        </w:tc>
        <w:tc>
          <w:tcPr>
            <w:tcW w:w="2012" w:type="pct"/>
            <w:tcBorders>
              <w:top w:val="single" w:sz="4" w:space="0" w:color="000000"/>
              <w:left w:val="single" w:sz="4" w:space="0" w:color="000000"/>
              <w:bottom w:val="single" w:sz="4" w:space="0" w:color="000000"/>
              <w:right w:val="single" w:sz="4" w:space="0" w:color="000000"/>
            </w:tcBorders>
            <w:noWrap/>
            <w:vAlign w:val="center"/>
          </w:tcPr>
          <w:p w14:paraId="6C44522B" w14:textId="77777777" w:rsidR="00BD1919" w:rsidRDefault="00000000">
            <w:pPr>
              <w:pStyle w:val="Tabletext"/>
              <w:jc w:val="center"/>
              <w:textAlignment w:val="center"/>
              <w:rPr>
                <w:lang w:val="en-US" w:eastAsia="zh-CN"/>
              </w:rPr>
            </w:pPr>
            <w:r>
              <w:rPr>
                <w:lang w:val="en-US" w:eastAsia="zh-CN" w:bidi="ar"/>
              </w:rPr>
              <w:t>Boolean</w:t>
            </w:r>
          </w:p>
        </w:tc>
        <w:tc>
          <w:tcPr>
            <w:tcW w:w="2076" w:type="pct"/>
            <w:tcBorders>
              <w:top w:val="single" w:sz="4" w:space="0" w:color="000000"/>
              <w:left w:val="single" w:sz="4" w:space="0" w:color="000000"/>
              <w:bottom w:val="single" w:sz="4" w:space="0" w:color="000000"/>
              <w:right w:val="single" w:sz="4" w:space="0" w:color="000000"/>
            </w:tcBorders>
            <w:noWrap/>
            <w:vAlign w:val="center"/>
          </w:tcPr>
          <w:p w14:paraId="6C44522C" w14:textId="77777777" w:rsidR="00BD1919" w:rsidRDefault="00000000">
            <w:pPr>
              <w:pStyle w:val="Tabletext"/>
              <w:jc w:val="center"/>
              <w:textAlignment w:val="center"/>
              <w:rPr>
                <w:lang w:val="en-US" w:eastAsia="zh-CN"/>
              </w:rPr>
            </w:pPr>
            <w:r>
              <w:rPr>
                <w:lang w:val="en-US" w:eastAsia="zh-CN" w:bidi="ar"/>
              </w:rPr>
              <w:t>Indicates the encoding method and whether Forward Error Correction (FEC) is included.</w:t>
            </w:r>
          </w:p>
        </w:tc>
      </w:tr>
      <w:tr w:rsidR="00BD1919" w14:paraId="6C445231" w14:textId="77777777">
        <w:trPr>
          <w:trHeight w:val="270"/>
        </w:trPr>
        <w:tc>
          <w:tcPr>
            <w:tcW w:w="911" w:type="pct"/>
            <w:tcBorders>
              <w:top w:val="single" w:sz="4" w:space="0" w:color="000000"/>
              <w:left w:val="single" w:sz="4" w:space="0" w:color="000000"/>
              <w:bottom w:val="single" w:sz="4" w:space="0" w:color="000000"/>
              <w:right w:val="single" w:sz="4" w:space="0" w:color="000000"/>
            </w:tcBorders>
            <w:noWrap/>
            <w:vAlign w:val="center"/>
          </w:tcPr>
          <w:p w14:paraId="6C44522E" w14:textId="77777777" w:rsidR="00BD1919" w:rsidRDefault="00000000">
            <w:pPr>
              <w:pStyle w:val="Tabletext"/>
              <w:jc w:val="center"/>
              <w:textAlignment w:val="center"/>
              <w:rPr>
                <w:lang w:val="en-US" w:eastAsia="zh-CN"/>
              </w:rPr>
            </w:pPr>
            <w:r>
              <w:rPr>
                <w:lang w:val="en-US" w:eastAsia="zh-CN" w:bidi="ar"/>
              </w:rPr>
              <w:t>Data Length (Bytes)</w:t>
            </w:r>
          </w:p>
        </w:tc>
        <w:tc>
          <w:tcPr>
            <w:tcW w:w="2012" w:type="pct"/>
            <w:tcBorders>
              <w:top w:val="single" w:sz="4" w:space="0" w:color="000000"/>
              <w:left w:val="single" w:sz="4" w:space="0" w:color="000000"/>
              <w:bottom w:val="single" w:sz="4" w:space="0" w:color="000000"/>
              <w:right w:val="single" w:sz="4" w:space="0" w:color="000000"/>
            </w:tcBorders>
            <w:noWrap/>
            <w:vAlign w:val="center"/>
          </w:tcPr>
          <w:p w14:paraId="6C44522F" w14:textId="77777777" w:rsidR="00BD1919" w:rsidRDefault="00000000">
            <w:pPr>
              <w:pStyle w:val="Tabletext"/>
              <w:jc w:val="center"/>
              <w:textAlignment w:val="center"/>
              <w:rPr>
                <w:lang w:val="en-US" w:eastAsia="zh-CN"/>
              </w:rPr>
            </w:pPr>
            <w:r>
              <w:rPr>
                <w:lang w:val="en-US" w:eastAsia="zh-CN" w:bidi="ar"/>
              </w:rPr>
              <w:t>Integer</w:t>
            </w:r>
          </w:p>
        </w:tc>
        <w:tc>
          <w:tcPr>
            <w:tcW w:w="2076" w:type="pct"/>
            <w:tcBorders>
              <w:top w:val="single" w:sz="4" w:space="0" w:color="000000"/>
              <w:left w:val="single" w:sz="4" w:space="0" w:color="000000"/>
              <w:bottom w:val="single" w:sz="4" w:space="0" w:color="000000"/>
              <w:right w:val="single" w:sz="4" w:space="0" w:color="000000"/>
            </w:tcBorders>
            <w:noWrap/>
            <w:vAlign w:val="center"/>
          </w:tcPr>
          <w:p w14:paraId="6C445230" w14:textId="77777777" w:rsidR="00BD1919" w:rsidRDefault="00000000">
            <w:pPr>
              <w:pStyle w:val="Tabletext"/>
              <w:jc w:val="center"/>
              <w:textAlignment w:val="center"/>
              <w:rPr>
                <w:lang w:val="en-US" w:eastAsia="zh-CN"/>
              </w:rPr>
            </w:pPr>
            <w:r>
              <w:rPr>
                <w:lang w:val="en-US" w:eastAsia="zh-CN" w:bidi="ar"/>
              </w:rPr>
              <w:t>The length of the payload in bytes.</w:t>
            </w:r>
          </w:p>
        </w:tc>
      </w:tr>
      <w:tr w:rsidR="00BD1919" w14:paraId="6C445235" w14:textId="77777777">
        <w:trPr>
          <w:trHeight w:val="270"/>
        </w:trPr>
        <w:tc>
          <w:tcPr>
            <w:tcW w:w="911" w:type="pct"/>
            <w:tcBorders>
              <w:top w:val="single" w:sz="4" w:space="0" w:color="000000"/>
              <w:left w:val="single" w:sz="4" w:space="0" w:color="000000"/>
              <w:bottom w:val="single" w:sz="4" w:space="0" w:color="000000"/>
              <w:right w:val="single" w:sz="4" w:space="0" w:color="000000"/>
            </w:tcBorders>
            <w:noWrap/>
            <w:vAlign w:val="center"/>
          </w:tcPr>
          <w:p w14:paraId="6C445232" w14:textId="77777777" w:rsidR="00BD1919" w:rsidRDefault="00000000">
            <w:pPr>
              <w:pStyle w:val="Tabletext"/>
              <w:jc w:val="center"/>
              <w:textAlignment w:val="center"/>
              <w:rPr>
                <w:lang w:val="en-US" w:eastAsia="zh-CN"/>
              </w:rPr>
            </w:pPr>
            <w:r>
              <w:rPr>
                <w:lang w:val="en-US" w:eastAsia="zh-CN" w:bidi="ar"/>
              </w:rPr>
              <w:t>Data Payload Content</w:t>
            </w:r>
          </w:p>
        </w:tc>
        <w:tc>
          <w:tcPr>
            <w:tcW w:w="2012" w:type="pct"/>
            <w:tcBorders>
              <w:top w:val="single" w:sz="4" w:space="0" w:color="000000"/>
              <w:left w:val="single" w:sz="4" w:space="0" w:color="000000"/>
              <w:bottom w:val="single" w:sz="4" w:space="0" w:color="000000"/>
              <w:right w:val="single" w:sz="4" w:space="0" w:color="000000"/>
            </w:tcBorders>
            <w:noWrap/>
            <w:vAlign w:val="center"/>
          </w:tcPr>
          <w:p w14:paraId="6C445233" w14:textId="77777777" w:rsidR="00BD1919" w:rsidRDefault="00000000">
            <w:pPr>
              <w:pStyle w:val="Tabletext"/>
              <w:jc w:val="center"/>
              <w:textAlignment w:val="center"/>
              <w:rPr>
                <w:lang w:val="en-US" w:eastAsia="zh-CN"/>
              </w:rPr>
            </w:pPr>
            <w:r>
              <w:rPr>
                <w:lang w:val="en-US" w:eastAsia="zh-CN" w:bidi="ar"/>
              </w:rPr>
              <w:t>String</w:t>
            </w:r>
          </w:p>
        </w:tc>
        <w:tc>
          <w:tcPr>
            <w:tcW w:w="2076" w:type="pct"/>
            <w:tcBorders>
              <w:top w:val="single" w:sz="4" w:space="0" w:color="000000"/>
              <w:left w:val="single" w:sz="4" w:space="0" w:color="000000"/>
              <w:bottom w:val="single" w:sz="4" w:space="0" w:color="000000"/>
              <w:right w:val="single" w:sz="4" w:space="0" w:color="000000"/>
            </w:tcBorders>
            <w:noWrap/>
            <w:vAlign w:val="center"/>
          </w:tcPr>
          <w:p w14:paraId="6C445234" w14:textId="77777777" w:rsidR="00BD1919" w:rsidRDefault="00000000">
            <w:pPr>
              <w:pStyle w:val="Tabletext"/>
              <w:jc w:val="center"/>
              <w:textAlignment w:val="center"/>
              <w:rPr>
                <w:lang w:val="en-US" w:eastAsia="zh-CN"/>
              </w:rPr>
            </w:pPr>
            <w:r>
              <w:rPr>
                <w:lang w:val="en-US" w:eastAsia="zh-CN" w:bidi="ar"/>
              </w:rPr>
              <w:t>The actual transmitted binary data or text (requires Base64 encoding).</w:t>
            </w:r>
          </w:p>
        </w:tc>
      </w:tr>
    </w:tbl>
    <w:p w14:paraId="6C445236" w14:textId="77777777" w:rsidR="00BD1919" w:rsidRDefault="00BD1919">
      <w:pPr>
        <w:pStyle w:val="BodyText"/>
        <w:jc w:val="left"/>
      </w:pPr>
    </w:p>
    <w:p w14:paraId="6C445237" w14:textId="77777777" w:rsidR="00BD1919" w:rsidRDefault="00000000">
      <w:pPr>
        <w:pStyle w:val="AppendixHead3"/>
      </w:pPr>
      <w:r>
        <w:rPr>
          <w:rFonts w:hint="eastAsia"/>
        </w:rPr>
        <w:t>ASM Reception</w:t>
      </w:r>
    </w:p>
    <w:p w14:paraId="6C445238" w14:textId="77777777" w:rsidR="00BD1919" w:rsidRDefault="00000000">
      <w:pPr>
        <w:pStyle w:val="BodyText"/>
        <w:jc w:val="left"/>
        <w:rPr>
          <w:rFonts w:eastAsia="SimSun"/>
          <w:lang w:val="en-US" w:eastAsia="zh-CN"/>
        </w:rPr>
      </w:pPr>
      <w:r>
        <w:rPr>
          <w:rFonts w:eastAsia="SimSun" w:hint="eastAsia"/>
          <w:lang w:val="en-US" w:eastAsia="zh-CN"/>
        </w:rPr>
        <w:t>...</w:t>
      </w:r>
    </w:p>
    <w:p w14:paraId="6C445239" w14:textId="77777777" w:rsidR="00BD1919" w:rsidRDefault="00000000">
      <w:pPr>
        <w:pStyle w:val="AppendixHead2"/>
      </w:pPr>
      <w:r>
        <w:rPr>
          <w:rFonts w:hint="eastAsia"/>
        </w:rPr>
        <w:lastRenderedPageBreak/>
        <w:t>Data Protection</w:t>
      </w:r>
    </w:p>
    <w:p w14:paraId="6C44523A" w14:textId="77777777" w:rsidR="00BD1919" w:rsidRDefault="00000000">
      <w:pPr>
        <w:pStyle w:val="BodyText"/>
        <w:jc w:val="left"/>
      </w:pPr>
      <w:r>
        <w:rPr>
          <w:rFonts w:hint="eastAsia"/>
        </w:rPr>
        <w:t>Payloads shall be encrypted using the Advanced Encryption Standard (AES).</w:t>
      </w:r>
    </w:p>
    <w:p w14:paraId="6C44523B" w14:textId="77777777" w:rsidR="00BD1919" w:rsidRDefault="00000000">
      <w:pPr>
        <w:pStyle w:val="AppendixHead1"/>
        <w:rPr>
          <w:rFonts w:ascii="Calibri" w:eastAsia="Times New Roman" w:hAnsi="Calibri" w:cs="Calibri"/>
        </w:rPr>
      </w:pPr>
      <w:r>
        <w:rPr>
          <w:rFonts w:ascii="Calibri" w:eastAsia="Times New Roman" w:hAnsi="Calibri" w:cs="Calibri" w:hint="eastAsia"/>
        </w:rPr>
        <w:t xml:space="preserve"> Interface Definitions</w:t>
      </w:r>
    </w:p>
    <w:p w14:paraId="6C44523C" w14:textId="77777777" w:rsidR="00BD1919" w:rsidRDefault="00000000">
      <w:pPr>
        <w:pStyle w:val="AppendixHead2"/>
      </w:pPr>
      <w:r>
        <w:rPr>
          <w:rFonts w:hint="eastAsia"/>
        </w:rPr>
        <w:t>Base Capability Interfaces</w:t>
      </w:r>
    </w:p>
    <w:p w14:paraId="6C44523D" w14:textId="77777777" w:rsidR="00BD1919" w:rsidRDefault="00000000">
      <w:pPr>
        <w:pStyle w:val="List1"/>
        <w:numPr>
          <w:ilvl w:val="0"/>
          <w:numId w:val="34"/>
        </w:numPr>
        <w:jc w:val="left"/>
        <w:rPr>
          <w:lang w:val="en-US" w:eastAsia="zh-CN"/>
        </w:rPr>
      </w:pPr>
      <w:r>
        <w:rPr>
          <w:rFonts w:hint="eastAsia"/>
          <w:lang w:val="en-US" w:eastAsia="zh-CN"/>
        </w:rPr>
        <w:t>Capability Query: Allows users to query the protocol versions and communication capabilities supported by the VDES system.</w:t>
      </w:r>
    </w:p>
    <w:p w14:paraId="6C44523E" w14:textId="77777777" w:rsidR="00BD1919" w:rsidRDefault="00000000">
      <w:pPr>
        <w:pStyle w:val="List1"/>
        <w:numPr>
          <w:ilvl w:val="0"/>
          <w:numId w:val="34"/>
        </w:numPr>
        <w:jc w:val="left"/>
        <w:rPr>
          <w:lang w:val="en-US" w:eastAsia="zh-CN"/>
        </w:rPr>
      </w:pPr>
      <w:r>
        <w:rPr>
          <w:rFonts w:hint="eastAsia"/>
          <w:lang w:val="en-US" w:eastAsia="zh-CN"/>
        </w:rPr>
        <w:t>Heartbeat: Used to monitor the online status of the VDES management system.</w:t>
      </w:r>
    </w:p>
    <w:p w14:paraId="6C44523F" w14:textId="77777777" w:rsidR="00BD1919" w:rsidRDefault="00000000">
      <w:pPr>
        <w:pStyle w:val="List1"/>
        <w:numPr>
          <w:ilvl w:val="0"/>
          <w:numId w:val="34"/>
        </w:numPr>
        <w:jc w:val="left"/>
        <w:rPr>
          <w:lang w:val="en-US" w:eastAsia="zh-CN"/>
        </w:rPr>
      </w:pPr>
      <w:r>
        <w:rPr>
          <w:rFonts w:hint="eastAsia"/>
          <w:lang w:val="en-US" w:eastAsia="zh-CN"/>
        </w:rPr>
        <w:t>Upload</w:t>
      </w:r>
    </w:p>
    <w:p w14:paraId="6C445240" w14:textId="77777777" w:rsidR="00BD1919" w:rsidRDefault="00000000">
      <w:pPr>
        <w:pStyle w:val="List1"/>
        <w:numPr>
          <w:ilvl w:val="0"/>
          <w:numId w:val="34"/>
        </w:numPr>
        <w:jc w:val="left"/>
        <w:rPr>
          <w:lang w:val="en-US" w:eastAsia="zh-CN"/>
        </w:rPr>
      </w:pPr>
      <w:r>
        <w:rPr>
          <w:rFonts w:hint="eastAsia"/>
          <w:lang w:val="en-US" w:eastAsia="zh-CN"/>
        </w:rPr>
        <w:t>Acknowledgement (ACK)</w:t>
      </w:r>
    </w:p>
    <w:p w14:paraId="6C445241" w14:textId="77777777" w:rsidR="00BD1919" w:rsidRDefault="00000000">
      <w:pPr>
        <w:pStyle w:val="AppendixHead2"/>
      </w:pPr>
      <w:r>
        <w:rPr>
          <w:rFonts w:hint="eastAsia"/>
        </w:rPr>
        <w:t>Data Interaction Interfaces</w:t>
      </w:r>
    </w:p>
    <w:p w14:paraId="6C445242" w14:textId="77777777" w:rsidR="00BD1919" w:rsidRDefault="00000000">
      <w:pPr>
        <w:pStyle w:val="List1"/>
        <w:numPr>
          <w:ilvl w:val="0"/>
          <w:numId w:val="35"/>
        </w:numPr>
        <w:jc w:val="left"/>
        <w:rPr>
          <w:lang w:val="en-US" w:eastAsia="zh-CN"/>
        </w:rPr>
      </w:pPr>
      <w:r>
        <w:rPr>
          <w:rFonts w:hint="eastAsia"/>
          <w:lang w:val="en-US" w:eastAsia="zh-CN"/>
        </w:rPr>
        <w:t>Upload</w:t>
      </w:r>
    </w:p>
    <w:p w14:paraId="6C445243" w14:textId="77777777" w:rsidR="00BD1919" w:rsidRDefault="00000000">
      <w:pPr>
        <w:pStyle w:val="List1"/>
        <w:numPr>
          <w:ilvl w:val="0"/>
          <w:numId w:val="35"/>
        </w:numPr>
        <w:jc w:val="left"/>
        <w:rPr>
          <w:lang w:val="en-US" w:eastAsia="zh-CN"/>
        </w:rPr>
      </w:pPr>
      <w:r>
        <w:rPr>
          <w:rFonts w:hint="eastAsia"/>
          <w:lang w:val="en-US" w:eastAsia="zh-CN"/>
        </w:rPr>
        <w:t>Acknowledgement (ACK)</w:t>
      </w:r>
    </w:p>
    <w:p w14:paraId="6C445244" w14:textId="77777777" w:rsidR="00BD1919" w:rsidRDefault="00000000">
      <w:pPr>
        <w:pStyle w:val="BodyText"/>
        <w:jc w:val="left"/>
        <w:rPr>
          <w:rFonts w:eastAsia="SimSun"/>
          <w:lang w:val="en-US" w:eastAsia="zh-CN"/>
        </w:rPr>
      </w:pPr>
      <w:r>
        <w:rPr>
          <w:rFonts w:eastAsia="SimSun" w:hint="eastAsia"/>
          <w:lang w:val="en-US" w:eastAsia="zh-CN"/>
        </w:rPr>
        <w:t>...</w:t>
      </w:r>
    </w:p>
    <w:p w14:paraId="6C445245" w14:textId="77777777" w:rsidR="00BD1919" w:rsidRDefault="00000000">
      <w:pPr>
        <w:pStyle w:val="AppendixHead2"/>
      </w:pPr>
      <w:r>
        <w:rPr>
          <w:rFonts w:hint="eastAsia"/>
        </w:rPr>
        <w:t>Security and Key Interfaces</w:t>
      </w:r>
    </w:p>
    <w:p w14:paraId="6C445246" w14:textId="77777777" w:rsidR="00BD1919" w:rsidRDefault="00000000">
      <w:pPr>
        <w:pStyle w:val="BodyText"/>
        <w:jc w:val="left"/>
      </w:pPr>
      <w:r>
        <w:rPr>
          <w:rFonts w:hint="eastAsia"/>
        </w:rPr>
        <w:t>Key Exchange: Facilitates the exchange of temporary AES symmetric keys required for decrypting S-100 payloads at the receiving end.</w:t>
      </w:r>
    </w:p>
    <w:p w14:paraId="6C445247" w14:textId="77777777" w:rsidR="00BD1919" w:rsidRDefault="00000000">
      <w:pPr>
        <w:pStyle w:val="AppendixHead1"/>
        <w:rPr>
          <w:rFonts w:ascii="Calibri" w:eastAsia="Times New Roman" w:hAnsi="Calibri" w:cs="Calibri"/>
        </w:rPr>
      </w:pPr>
      <w:r>
        <w:rPr>
          <w:rFonts w:ascii="Calibri" w:eastAsia="Times New Roman" w:hAnsi="Calibri" w:cs="Calibri" w:hint="eastAsia"/>
        </w:rPr>
        <w:t>Security Mechanisms</w:t>
      </w:r>
    </w:p>
    <w:p w14:paraId="6C445248" w14:textId="77777777" w:rsidR="00BD1919" w:rsidRDefault="00000000">
      <w:pPr>
        <w:pStyle w:val="AppendixHead2"/>
      </w:pPr>
      <w:r>
        <w:rPr>
          <w:rFonts w:hint="eastAsia"/>
        </w:rPr>
        <w:t>Transport Layer Security</w:t>
      </w:r>
    </w:p>
    <w:p w14:paraId="6C445249" w14:textId="77777777" w:rsidR="00BD1919" w:rsidRDefault="00000000">
      <w:pPr>
        <w:pStyle w:val="AppendixHead2"/>
      </w:pPr>
      <w:r>
        <w:rPr>
          <w:rFonts w:hint="eastAsia"/>
        </w:rPr>
        <w:t>Dual Signature Authentication</w:t>
      </w:r>
    </w:p>
    <w:p w14:paraId="6C44524A" w14:textId="77777777" w:rsidR="00BD1919" w:rsidRDefault="00000000">
      <w:pPr>
        <w:pStyle w:val="AppendixHead1"/>
        <w:snapToGrid w:val="0"/>
      </w:pPr>
      <w:r>
        <w:rPr>
          <w:rFonts w:ascii="Calibri" w:eastAsia="Times New Roman" w:hAnsi="Calibri" w:cs="Calibri" w:hint="eastAsia"/>
        </w:rPr>
        <w:t>Service Discovery</w:t>
      </w:r>
    </w:p>
    <w:sectPr w:rsidR="00BD1919">
      <w:headerReference w:type="default" r:id="rId12"/>
      <w:footerReference w:type="default" r:id="rId13"/>
      <w:pgSz w:w="11906" w:h="16838"/>
      <w:pgMar w:top="2098" w:right="1474" w:bottom="1984" w:left="158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2FAF09" w14:textId="77777777" w:rsidR="00BE0685" w:rsidRDefault="00BE0685">
      <w:pPr>
        <w:spacing w:line="240" w:lineRule="auto"/>
      </w:pPr>
      <w:r>
        <w:separator/>
      </w:r>
    </w:p>
  </w:endnote>
  <w:endnote w:type="continuationSeparator" w:id="0">
    <w:p w14:paraId="71162CDF" w14:textId="77777777" w:rsidR="00BE0685" w:rsidRDefault="00BE068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Bold">
    <w:panose1 w:val="020B0704020202020204"/>
    <w:charset w:val="00"/>
    <w:family w:val="auto"/>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4002EFF" w:usb1="C200247B" w:usb2="00000009" w:usb3="00000000" w:csb0="000001FF" w:csb1="00000000"/>
    <w:embedRegular r:id="rId1" w:fontKey="{3D50E8B5-785F-4B01-8560-2AD1F29264E0}"/>
    <w:embedBold r:id="rId2" w:fontKey="{9A635C6E-EF39-442E-8D48-DFCAF7D126EE}"/>
    <w:embedItalic r:id="rId3" w:fontKey="{33899437-074A-4285-A6ED-F3950AD5BF9E}"/>
    <w:embedBoldItalic r:id="rId4" w:fontKey="{18E72562-4899-41B7-B644-9D44418819B1}"/>
  </w:font>
  <w:font w:name="Calibri (Body)">
    <w:altName w:val="Calibri"/>
    <w:charset w:val="00"/>
    <w:family w:val="roman"/>
    <w:pitch w:val="default"/>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embedBold r:id="rId5" w:subsetted="1" w:fontKey="{E41AE5D3-6699-461C-B365-892E38CEDB4F}"/>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rlow Medium">
    <w:charset w:val="00"/>
    <w:family w:val="auto"/>
    <w:pitch w:val="variable"/>
    <w:sig w:usb0="20000007" w:usb1="00000000" w:usb2="00000000" w:usb3="00000000" w:csb0="00000193" w:csb1="00000000"/>
  </w:font>
  <w:font w:name="SimHei">
    <w:altName w:val="黑体"/>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44524F" w14:textId="77777777" w:rsidR="00BD1919" w:rsidRDefault="00BD1919">
    <w:pPr>
      <w:pStyle w:val="Footerportrait"/>
    </w:pPr>
  </w:p>
  <w:p w14:paraId="6C445250" w14:textId="77777777" w:rsidR="00BD1919" w:rsidRDefault="00000000">
    <w:pPr>
      <w:pStyle w:val="Footerportrait"/>
      <w:rPr>
        <w:lang w:eastAsia="zh-CN"/>
      </w:rPr>
    </w:pPr>
    <w:r>
      <w:rPr>
        <w:rFonts w:hint="eastAsia"/>
        <w:lang w:eastAsia="zh-CN"/>
      </w:rPr>
      <w:t>Proposal to Supplement the Guideline for Shore VDES Infrastructure with</w:t>
    </w:r>
    <w:r>
      <w:rPr>
        <w:lang w:eastAsia="zh-CN"/>
      </w:rPr>
      <w:t xml:space="preserve"> an</w:t>
    </w:r>
    <w:r>
      <w:rPr>
        <w:rFonts w:hint="eastAsia"/>
        <w:lang w:eastAsia="zh-CN"/>
      </w:rPr>
      <w:t xml:space="preserve"> appendix on Data Service Interface Specification</w:t>
    </w:r>
    <w:r>
      <w:rPr>
        <w:lang w:eastAsia="zh-CN"/>
      </w:rPr>
      <w:tab/>
      <w:t xml:space="preserve">P </w:t>
    </w:r>
    <w:r>
      <w:rPr>
        <w:rStyle w:val="PageNumber"/>
        <w:szCs w:val="15"/>
      </w:rPr>
      <w:fldChar w:fldCharType="begin"/>
    </w:r>
    <w:r>
      <w:rPr>
        <w:rStyle w:val="PageNumber"/>
        <w:szCs w:val="15"/>
        <w:lang w:eastAsia="zh-CN"/>
      </w:rPr>
      <w:instrText xml:space="preserve">PAGE  </w:instrText>
    </w:r>
    <w:r>
      <w:rPr>
        <w:rStyle w:val="PageNumber"/>
        <w:szCs w:val="15"/>
      </w:rPr>
      <w:fldChar w:fldCharType="separate"/>
    </w:r>
    <w:r>
      <w:rPr>
        <w:rStyle w:val="PageNumber"/>
        <w:szCs w:val="15"/>
        <w:lang w:eastAsia="zh-CN"/>
      </w:rPr>
      <w:t>2</w:t>
    </w:r>
    <w:r>
      <w:rPr>
        <w:rStyle w:val="PageNumber"/>
        <w:szCs w:val="15"/>
      </w:rPr>
      <w:fldChar w:fldCharType="end"/>
    </w:r>
  </w:p>
  <w:p w14:paraId="6C445251" w14:textId="77777777" w:rsidR="00BD1919" w:rsidRDefault="00BD1919">
    <w:pPr>
      <w:pStyle w:val="Footer"/>
      <w:rPr>
        <w:rFonts w:ascii="Calibri" w:hAnsi="Calibri"/>
        <w:lang w:eastAsia="zh-CN"/>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445253" w14:textId="77777777" w:rsidR="00BD1919" w:rsidRDefault="00BD191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6E7EA8" w14:textId="77777777" w:rsidR="00BE0685" w:rsidRDefault="00BE0685">
      <w:pPr>
        <w:spacing w:line="240" w:lineRule="auto"/>
      </w:pPr>
      <w:r>
        <w:separator/>
      </w:r>
    </w:p>
  </w:footnote>
  <w:footnote w:type="continuationSeparator" w:id="0">
    <w:p w14:paraId="58BB1A70" w14:textId="77777777" w:rsidR="00BE0685" w:rsidRDefault="00BE068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445252" w14:textId="77777777" w:rsidR="00BD1919" w:rsidRDefault="00BD1919">
    <w:pPr>
      <w:pStyle w:val="Header"/>
      <w:rPr>
        <w:rFonts w:eastAsia="SimSun"/>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3F8FD02"/>
    <w:multiLevelType w:val="singleLevel"/>
    <w:tmpl w:val="93F8FD02"/>
    <w:lvl w:ilvl="0">
      <w:start w:val="1"/>
      <w:numFmt w:val="lowerLetter"/>
      <w:lvlText w:val="%1."/>
      <w:lvlJc w:val="left"/>
      <w:pPr>
        <w:ind w:left="425" w:hanging="425"/>
      </w:pPr>
      <w:rPr>
        <w:rFonts w:hint="default"/>
      </w:rPr>
    </w:lvl>
  </w:abstractNum>
  <w:abstractNum w:abstractNumId="1" w15:restartNumberingAfterBreak="0">
    <w:nsid w:val="BC0855DB"/>
    <w:multiLevelType w:val="singleLevel"/>
    <w:tmpl w:val="BC0855DB"/>
    <w:lvl w:ilvl="0">
      <w:start w:val="1"/>
      <w:numFmt w:val="lowerLetter"/>
      <w:lvlText w:val="%1."/>
      <w:lvlJc w:val="left"/>
      <w:pPr>
        <w:ind w:left="425" w:hanging="425"/>
      </w:pPr>
      <w:rPr>
        <w:rFonts w:hint="default"/>
      </w:rPr>
    </w:lvl>
  </w:abstractNum>
  <w:abstractNum w:abstractNumId="2" w15:restartNumberingAfterBreak="0">
    <w:nsid w:val="BD5C10A5"/>
    <w:multiLevelType w:val="singleLevel"/>
    <w:tmpl w:val="BD5C10A5"/>
    <w:lvl w:ilvl="0">
      <w:start w:val="1"/>
      <w:numFmt w:val="lowerLetter"/>
      <w:lvlText w:val="%1."/>
      <w:lvlJc w:val="left"/>
      <w:pPr>
        <w:ind w:left="425" w:hanging="425"/>
      </w:pPr>
      <w:rPr>
        <w:rFonts w:hint="default"/>
      </w:rPr>
    </w:lvl>
  </w:abstractNum>
  <w:abstractNum w:abstractNumId="3"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4" w15:restartNumberingAfterBreak="0">
    <w:nsid w:val="0B8D6414"/>
    <w:multiLevelType w:val="multilevel"/>
    <w:tmpl w:val="0B8D6414"/>
    <w:lvl w:ilvl="0">
      <w:start w:val="1"/>
      <w:numFmt w:val="decimal"/>
      <w:pStyle w:val="AnnexHeading1"/>
      <w:lvlText w:val="%1"/>
      <w:lvlJc w:val="left"/>
      <w:pPr>
        <w:tabs>
          <w:tab w:val="left" w:pos="567"/>
        </w:tabs>
        <w:ind w:left="567" w:hanging="567"/>
      </w:pPr>
      <w:rPr>
        <w:rFonts w:ascii="Arial Bold" w:hAnsi="Arial Bold" w:hint="default"/>
        <w:b/>
        <w:i w:val="0"/>
        <w:sz w:val="24"/>
      </w:rPr>
    </w:lvl>
    <w:lvl w:ilvl="1">
      <w:start w:val="1"/>
      <w:numFmt w:val="decimal"/>
      <w:pStyle w:val="AnnexHeading2"/>
      <w:lvlText w:val="%1.%2"/>
      <w:lvlJc w:val="left"/>
      <w:pPr>
        <w:tabs>
          <w:tab w:val="left" w:pos="851"/>
        </w:tabs>
        <w:ind w:left="851" w:hanging="851"/>
      </w:pPr>
      <w:rPr>
        <w:rFonts w:ascii="Arial Bold" w:hAnsi="Arial Bold" w:hint="default"/>
        <w:b/>
        <w:i w:val="0"/>
        <w:sz w:val="22"/>
      </w:rPr>
    </w:lvl>
    <w:lvl w:ilvl="2">
      <w:start w:val="1"/>
      <w:numFmt w:val="decimal"/>
      <w:pStyle w:val="AnnexHeading3"/>
      <w:lvlText w:val="%2.%3.%1"/>
      <w:lvlJc w:val="left"/>
      <w:pPr>
        <w:tabs>
          <w:tab w:val="left" w:pos="992"/>
        </w:tabs>
        <w:ind w:left="992" w:hanging="992"/>
      </w:pPr>
      <w:rPr>
        <w:rFonts w:ascii="Arial" w:hAnsi="Arial" w:hint="default"/>
        <w:b w:val="0"/>
        <w:i w:val="0"/>
        <w:sz w:val="22"/>
      </w:rPr>
    </w:lvl>
    <w:lvl w:ilvl="3">
      <w:start w:val="1"/>
      <w:numFmt w:val="decimal"/>
      <w:pStyle w:val="AnnexHeading4"/>
      <w:lvlText w:val="%1.%2.%3.%4"/>
      <w:lvlJc w:val="left"/>
      <w:pPr>
        <w:tabs>
          <w:tab w:val="left"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133478BF"/>
    <w:multiLevelType w:val="multilevel"/>
    <w:tmpl w:val="133478BF"/>
    <w:lvl w:ilvl="0">
      <w:start w:val="1"/>
      <w:numFmt w:val="bullet"/>
      <w:pStyle w:val="InsetList"/>
      <w:lvlText w:val=""/>
      <w:lvlJc w:val="left"/>
      <w:pPr>
        <w:ind w:left="680" w:hanging="396"/>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34F700B"/>
    <w:multiLevelType w:val="multilevel"/>
    <w:tmpl w:val="134F700B"/>
    <w:lvl w:ilvl="0">
      <w:start w:val="1"/>
      <w:numFmt w:val="upperLetter"/>
      <w:pStyle w:val="Annex"/>
      <w:lvlText w:val="ANNEX %1"/>
      <w:lvlJc w:val="left"/>
      <w:pPr>
        <w:ind w:left="851" w:hanging="851"/>
      </w:pPr>
      <w:rPr>
        <w:rFonts w:asciiTheme="minorHAnsi" w:hAnsiTheme="minorHAnsi" w:hint="default"/>
        <w:b/>
        <w:i w:val="0"/>
        <w:caps/>
        <w:color w:val="00558C"/>
        <w:sz w:val="28"/>
        <w:u w:val="none" w:color="407EC9"/>
      </w:rPr>
    </w:lvl>
    <w:lvl w:ilvl="1">
      <w:start w:val="1"/>
      <w:numFmt w:val="decimal"/>
      <w:pStyle w:val="AnnexHead2"/>
      <w:lvlText w:val="%1.%2."/>
      <w:lvlJc w:val="left"/>
      <w:pPr>
        <w:ind w:left="851" w:hanging="851"/>
      </w:pPr>
      <w:rPr>
        <w:rFonts w:ascii="Calibri" w:hAnsi="Calibri" w:hint="default"/>
        <w:b/>
        <w:i w:val="0"/>
        <w:caps/>
        <w:color w:val="00558C"/>
        <w:sz w:val="24"/>
      </w:rPr>
    </w:lvl>
    <w:lvl w:ilvl="2">
      <w:start w:val="1"/>
      <w:numFmt w:val="decimal"/>
      <w:pStyle w:val="AnnexHead3"/>
      <w:lvlText w:val="%1.%2.%3."/>
      <w:lvlJc w:val="left"/>
      <w:pPr>
        <w:ind w:left="1021" w:hanging="1021"/>
      </w:pPr>
      <w:rPr>
        <w:rFonts w:ascii="Calibri" w:hAnsi="Calibri" w:hint="default"/>
        <w:b/>
        <w:i w:val="0"/>
        <w:vanish w:val="0"/>
        <w:color w:val="00558C"/>
        <w:sz w:val="24"/>
      </w:rPr>
    </w:lvl>
    <w:lvl w:ilvl="3">
      <w:start w:val="1"/>
      <w:numFmt w:val="decimal"/>
      <w:pStyle w:val="AnnexHead4"/>
      <w:lvlText w:val="%1.%2.%3.%4."/>
      <w:lvlJc w:val="left"/>
      <w:pPr>
        <w:ind w:left="1134" w:hanging="1134"/>
      </w:pPr>
      <w:rPr>
        <w:rFonts w:ascii="Calibri" w:hAnsi="Calibri" w:hint="default"/>
        <w:b/>
        <w:i w:val="0"/>
        <w:caps/>
        <w:color w:val="00558C"/>
        <w:sz w:val="22"/>
      </w:rPr>
    </w:lvl>
    <w:lvl w:ilvl="4">
      <w:start w:val="1"/>
      <w:numFmt w:val="decimal"/>
      <w:pStyle w:val="AnnexHead5"/>
      <w:lvlText w:val="%1.%2.%3.%4.%5."/>
      <w:lvlJc w:val="left"/>
      <w:pPr>
        <w:ind w:left="1134" w:hanging="1134"/>
      </w:pPr>
      <w:rPr>
        <w:rFonts w:ascii="Calibri" w:hAnsi="Calibri" w:hint="default"/>
        <w:b w:val="0"/>
        <w:i w:val="0"/>
        <w:caps/>
        <w:color w:val="00558C"/>
        <w:sz w:val="22"/>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7" w15:restartNumberingAfterBreak="0">
    <w:nsid w:val="16102258"/>
    <w:multiLevelType w:val="multilevel"/>
    <w:tmpl w:val="16102258"/>
    <w:lvl w:ilvl="0">
      <w:start w:val="1"/>
      <w:numFmt w:val="decimal"/>
      <w:pStyle w:val="Tablecaption"/>
      <w:lvlText w:val="Table %1"/>
      <w:lvlJc w:val="left"/>
      <w:pPr>
        <w:ind w:left="567" w:hanging="567"/>
      </w:pPr>
      <w:rPr>
        <w:rFonts w:ascii="Calibri" w:hAnsi="Calibri" w:hint="default"/>
        <w:b w:val="0"/>
        <w:i/>
        <w:u w:val="non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8" w15:restartNumberingAfterBreak="0">
    <w:nsid w:val="19A1740F"/>
    <w:multiLevelType w:val="multilevel"/>
    <w:tmpl w:val="19A1740F"/>
    <w:lvl w:ilvl="0">
      <w:start w:val="1"/>
      <w:numFmt w:val="decimal"/>
      <w:pStyle w:val="Appendix"/>
      <w:lvlText w:val="APPENDIX %1"/>
      <w:lvlJc w:val="left"/>
      <w:pPr>
        <w:ind w:left="1701" w:hanging="1701"/>
      </w:pPr>
      <w:rPr>
        <w:rFonts w:ascii="Calibri (Body)" w:hAnsi="Calibri (Body)" w:hint="default"/>
        <w:b/>
        <w:bCs w:val="0"/>
        <w:i w:val="0"/>
        <w:iCs w:val="0"/>
        <w:caps/>
        <w:smallCaps w:val="0"/>
        <w:strike w:val="0"/>
        <w:dstrike w:val="0"/>
        <w:outline w:val="0"/>
        <w:shadow w:val="0"/>
        <w:emboss w:val="0"/>
        <w:imprint w:val="0"/>
        <w:vanish w:val="0"/>
        <w:color w:val="00558C"/>
        <w:spacing w:val="0"/>
        <w:kern w:val="0"/>
        <w:position w:val="0"/>
        <w:sz w:val="28"/>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pStyle w:val="AppendixHead1"/>
      <w:lvlText w:val="%2."/>
      <w:lvlJc w:val="left"/>
      <w:pPr>
        <w:ind w:left="907" w:hanging="907"/>
      </w:pPr>
      <w:rPr>
        <w:rFonts w:hint="default"/>
      </w:rPr>
    </w:lvl>
    <w:lvl w:ilvl="2">
      <w:start w:val="1"/>
      <w:numFmt w:val="decimal"/>
      <w:pStyle w:val="AppendixHead2"/>
      <w:lvlText w:val="%2.%3."/>
      <w:lvlJc w:val="left"/>
      <w:pPr>
        <w:ind w:left="1247" w:hanging="1247"/>
      </w:pPr>
      <w:rPr>
        <w:rFonts w:hint="default"/>
      </w:rPr>
    </w:lvl>
    <w:lvl w:ilvl="3">
      <w:start w:val="1"/>
      <w:numFmt w:val="decimal"/>
      <w:pStyle w:val="AppendixHead3"/>
      <w:lvlText w:val="%2.%3.%4."/>
      <w:lvlJc w:val="left"/>
      <w:pPr>
        <w:ind w:left="1588" w:hanging="1588"/>
      </w:pPr>
      <w:rPr>
        <w:rFonts w:hint="default"/>
      </w:rPr>
    </w:lvl>
    <w:lvl w:ilvl="4">
      <w:start w:val="1"/>
      <w:numFmt w:val="decimal"/>
      <w:pStyle w:val="AppendixHead4"/>
      <w:lvlText w:val="%2.%3.%4.%5."/>
      <w:lvlJc w:val="left"/>
      <w:pPr>
        <w:ind w:left="1758" w:hanging="1758"/>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E7E01D9"/>
    <w:multiLevelType w:val="multilevel"/>
    <w:tmpl w:val="1E7E01D9"/>
    <w:lvl w:ilvl="0">
      <w:start w:val="1"/>
      <w:numFmt w:val="decimal"/>
      <w:pStyle w:val="Reference"/>
      <w:lvlText w:val="[%1]"/>
      <w:lvlJc w:val="left"/>
      <w:pPr>
        <w:tabs>
          <w:tab w:val="left" w:pos="0"/>
        </w:tabs>
        <w:ind w:left="567" w:hanging="567"/>
      </w:pPr>
      <w:rPr>
        <w:rFonts w:asciiTheme="minorHAnsi" w:hAnsiTheme="minorHAnsi" w:hint="default"/>
        <w:b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34245C5"/>
    <w:multiLevelType w:val="multilevel"/>
    <w:tmpl w:val="234245C5"/>
    <w:lvl w:ilvl="0">
      <w:start w:val="1"/>
      <w:numFmt w:val="decimal"/>
      <w:pStyle w:val="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28336371"/>
    <w:multiLevelType w:val="multilevel"/>
    <w:tmpl w:val="28336371"/>
    <w:lvl w:ilvl="0">
      <w:start w:val="1"/>
      <w:numFmt w:val="bullet"/>
      <w:pStyle w:val="Tableinsetlist"/>
      <w:lvlText w:val=""/>
      <w:lvlJc w:val="left"/>
      <w:pPr>
        <w:ind w:left="397"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A4E1CF1"/>
    <w:multiLevelType w:val="multilevel"/>
    <w:tmpl w:val="2A4E1CF1"/>
    <w:lvl w:ilvl="0">
      <w:start w:val="1"/>
      <w:numFmt w:val="decimal"/>
      <w:pStyle w:val="AnnexTablecaption"/>
      <w:lvlText w:val="Tabl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2BDB2C74"/>
    <w:multiLevelType w:val="multilevel"/>
    <w:tmpl w:val="2BDB2C74"/>
    <w:lvl w:ilvl="0">
      <w:start w:val="1"/>
      <w:numFmt w:val="decimal"/>
      <w:pStyle w:val="Annex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32547343"/>
    <w:multiLevelType w:val="multilevel"/>
    <w:tmpl w:val="32547343"/>
    <w:lvl w:ilvl="0">
      <w:start w:val="1"/>
      <w:numFmt w:val="decimal"/>
      <w:pStyle w:val="Furtherreading"/>
      <w:lvlText w:val="[%1]"/>
      <w:lvlJc w:val="left"/>
      <w:pPr>
        <w:ind w:left="567" w:hanging="56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376301AE"/>
    <w:multiLevelType w:val="multilevel"/>
    <w:tmpl w:val="376301AE"/>
    <w:lvl w:ilvl="0">
      <w:start w:val="1"/>
      <w:numFmt w:val="decimal"/>
      <w:pStyle w:val="AppendixHeading1"/>
      <w:lvlText w:val="%1"/>
      <w:lvlJc w:val="left"/>
      <w:pPr>
        <w:tabs>
          <w:tab w:val="left" w:pos="567"/>
        </w:tabs>
        <w:ind w:left="567" w:hanging="567"/>
      </w:pPr>
      <w:rPr>
        <w:rFonts w:ascii="Arial" w:hAnsi="Arial" w:hint="default"/>
        <w:b/>
        <w:i w:val="0"/>
        <w:sz w:val="24"/>
      </w:rPr>
    </w:lvl>
    <w:lvl w:ilvl="1">
      <w:start w:val="1"/>
      <w:numFmt w:val="decimal"/>
      <w:pStyle w:val="AppendixHeading2"/>
      <w:lvlText w:val="%1.%2"/>
      <w:lvlJc w:val="left"/>
      <w:pPr>
        <w:tabs>
          <w:tab w:val="left" w:pos="851"/>
        </w:tabs>
        <w:ind w:left="851" w:hanging="851"/>
      </w:pPr>
      <w:rPr>
        <w:rFonts w:ascii="Arial" w:hAnsi="Arial" w:hint="default"/>
        <w:b/>
        <w:i w:val="0"/>
        <w:sz w:val="22"/>
      </w:rPr>
    </w:lvl>
    <w:lvl w:ilvl="2">
      <w:start w:val="1"/>
      <w:numFmt w:val="decimal"/>
      <w:pStyle w:val="AppendixHeading3"/>
      <w:lvlText w:val="%1.%2.%3"/>
      <w:lvlJc w:val="left"/>
      <w:pPr>
        <w:tabs>
          <w:tab w:val="left" w:pos="992"/>
        </w:tabs>
        <w:ind w:left="992" w:hanging="992"/>
      </w:pPr>
      <w:rPr>
        <w:rFonts w:ascii="Arial" w:hAnsi="Arial" w:hint="default"/>
        <w:b w:val="0"/>
        <w:i w:val="0"/>
        <w:sz w:val="22"/>
      </w:rPr>
    </w:lvl>
    <w:lvl w:ilvl="3">
      <w:start w:val="1"/>
      <w:numFmt w:val="decimal"/>
      <w:pStyle w:val="AppendixHeading4"/>
      <w:lvlText w:val="%1.%2.%3.%4"/>
      <w:lvlJc w:val="left"/>
      <w:pPr>
        <w:tabs>
          <w:tab w:val="left"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44041789"/>
    <w:multiLevelType w:val="multilevel"/>
    <w:tmpl w:val="44041789"/>
    <w:lvl w:ilvl="0">
      <w:start w:val="1"/>
      <w:numFmt w:val="decimal"/>
      <w:pStyle w:val="List1"/>
      <w:lvlText w:val="%1"/>
      <w:lvlJc w:val="left"/>
      <w:pPr>
        <w:tabs>
          <w:tab w:val="left" w:pos="567"/>
        </w:tabs>
        <w:ind w:left="567" w:hanging="567"/>
      </w:pPr>
      <w:rPr>
        <w:rFonts w:ascii="Calibri" w:hAnsi="Calibri" w:hint="default"/>
        <w:b w:val="0"/>
        <w:i w:val="0"/>
        <w:sz w:val="22"/>
        <w:szCs w:val="22"/>
      </w:rPr>
    </w:lvl>
    <w:lvl w:ilvl="1">
      <w:start w:val="1"/>
      <w:numFmt w:val="lowerLetter"/>
      <w:pStyle w:val="List1indent1"/>
      <w:lvlText w:val="%2."/>
      <w:lvlJc w:val="left"/>
      <w:pPr>
        <w:tabs>
          <w:tab w:val="left" w:pos="1134"/>
        </w:tabs>
        <w:ind w:left="1134" w:hanging="567"/>
      </w:pPr>
      <w:rPr>
        <w:rFonts w:hint="default"/>
      </w:rPr>
    </w:lvl>
    <w:lvl w:ilvl="2">
      <w:start w:val="1"/>
      <w:numFmt w:val="lowerRoman"/>
      <w:pStyle w:val="List1indent2"/>
      <w:lvlText w:val="%3."/>
      <w:lvlJc w:val="left"/>
      <w:pPr>
        <w:tabs>
          <w:tab w:val="left"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15:restartNumberingAfterBreak="0">
    <w:nsid w:val="48011C53"/>
    <w:multiLevelType w:val="multilevel"/>
    <w:tmpl w:val="48011C53"/>
    <w:lvl w:ilvl="0">
      <w:start w:val="1"/>
      <w:numFmt w:val="decimal"/>
      <w:pStyle w:val="AnnexFigure"/>
      <w:lvlText w:val="Figure %1"/>
      <w:lvlJc w:val="left"/>
      <w:pPr>
        <w:tabs>
          <w:tab w:val="left" w:pos="1701"/>
        </w:tabs>
        <w:ind w:left="1701" w:hanging="1701"/>
      </w:pPr>
      <w:rPr>
        <w:rFonts w:ascii="Arial" w:hAnsi="Arial" w:hint="default"/>
        <w:b w:val="0"/>
        <w:i/>
        <w:sz w:val="22"/>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8" w15:restartNumberingAfterBreak="0">
    <w:nsid w:val="51B55D23"/>
    <w:multiLevelType w:val="multilevel"/>
    <w:tmpl w:val="51B55D23"/>
    <w:lvl w:ilvl="0">
      <w:start w:val="1"/>
      <w:numFmt w:val="decimal"/>
      <w:pStyle w:val="Table"/>
      <w:lvlText w:val="Table %1"/>
      <w:lvlJc w:val="left"/>
      <w:pPr>
        <w:tabs>
          <w:tab w:val="left" w:pos="1134"/>
        </w:tabs>
        <w:ind w:left="1134" w:hanging="113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5EB057A3"/>
    <w:multiLevelType w:val="multilevel"/>
    <w:tmpl w:val="5EB057A3"/>
    <w:lvl w:ilvl="0">
      <w:start w:val="1"/>
      <w:numFmt w:val="decimal"/>
      <w:pStyle w:val="Equation"/>
      <w:lvlText w:val="(%1)"/>
      <w:lvlJc w:val="left"/>
      <w:pPr>
        <w:ind w:left="360" w:hanging="360"/>
      </w:pPr>
      <w:rPr>
        <w:rFonts w:hint="default"/>
        <w:b w:val="0"/>
        <w:i w:val="0"/>
        <w:sz w:val="22"/>
        <w:u w:val="no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634C1CBF"/>
    <w:multiLevelType w:val="singleLevel"/>
    <w:tmpl w:val="634C1CBF"/>
    <w:lvl w:ilvl="0">
      <w:start w:val="1"/>
      <w:numFmt w:val="decimal"/>
      <w:pStyle w:val="Figure"/>
      <w:lvlText w:val="Figure %1"/>
      <w:lvlJc w:val="left"/>
      <w:pPr>
        <w:tabs>
          <w:tab w:val="left" w:pos="1134"/>
        </w:tabs>
        <w:ind w:left="1134" w:hanging="1134"/>
      </w:pPr>
      <w:rPr>
        <w:rFonts w:ascii="Arial" w:hAnsi="Arial" w:hint="default"/>
        <w:b w:val="0"/>
        <w:i/>
        <w:sz w:val="22"/>
      </w:rPr>
    </w:lvl>
  </w:abstractNum>
  <w:abstractNum w:abstractNumId="21" w15:restartNumberingAfterBreak="0">
    <w:nsid w:val="6621631E"/>
    <w:multiLevelType w:val="multilevel"/>
    <w:tmpl w:val="6621631E"/>
    <w:lvl w:ilvl="0">
      <w:start w:val="1"/>
      <w:numFmt w:val="bullet"/>
      <w:pStyle w:val="Bullet1"/>
      <w:lvlText w:val=""/>
      <w:lvlJc w:val="left"/>
      <w:pPr>
        <w:ind w:left="360" w:hanging="360"/>
      </w:pPr>
      <w:rPr>
        <w:rFonts w:ascii="Symbol" w:hAnsi="Symbol" w:hint="default"/>
        <w:color w:val="00558C"/>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67AB4D84"/>
    <w:multiLevelType w:val="multilevel"/>
    <w:tmpl w:val="67AB4D84"/>
    <w:lvl w:ilvl="0">
      <w:start w:val="1"/>
      <w:numFmt w:val="decimal"/>
      <w:pStyle w:val="Heading1"/>
      <w:lvlText w:val="%1."/>
      <w:lvlJc w:val="left"/>
      <w:pPr>
        <w:tabs>
          <w:tab w:val="left" w:pos="0"/>
        </w:tabs>
        <w:ind w:left="709" w:hanging="709"/>
      </w:pPr>
      <w:rPr>
        <w:rFonts w:asciiTheme="minorHAnsi" w:hAnsiTheme="minorHAnsi" w:hint="default"/>
        <w:b/>
        <w:i w:val="0"/>
        <w:color w:val="00558C"/>
        <w:sz w:val="28"/>
      </w:rPr>
    </w:lvl>
    <w:lvl w:ilvl="1">
      <w:start w:val="1"/>
      <w:numFmt w:val="decimal"/>
      <w:pStyle w:val="Heading2"/>
      <w:lvlText w:val="%1.%2."/>
      <w:lvlJc w:val="left"/>
      <w:pPr>
        <w:tabs>
          <w:tab w:val="left" w:pos="0"/>
        </w:tabs>
        <w:ind w:left="851" w:hanging="851"/>
      </w:pPr>
      <w:rPr>
        <w:rFonts w:asciiTheme="minorHAnsi" w:hAnsiTheme="minorHAnsi" w:hint="default"/>
        <w:b/>
        <w:i w:val="0"/>
        <w:color w:val="00558C"/>
        <w:sz w:val="24"/>
      </w:rPr>
    </w:lvl>
    <w:lvl w:ilvl="2">
      <w:start w:val="1"/>
      <w:numFmt w:val="decimal"/>
      <w:pStyle w:val="Heading3"/>
      <w:lvlText w:val="%1.%2.%3."/>
      <w:lvlJc w:val="left"/>
      <w:pPr>
        <w:tabs>
          <w:tab w:val="left" w:pos="0"/>
        </w:tabs>
        <w:ind w:left="992" w:hanging="992"/>
      </w:pPr>
      <w:rPr>
        <w:rFonts w:asciiTheme="minorHAnsi" w:hAnsiTheme="minorHAnsi" w:hint="default"/>
        <w:b/>
        <w:i w:val="0"/>
        <w:color w:val="00558C"/>
        <w:sz w:val="22"/>
      </w:rPr>
    </w:lvl>
    <w:lvl w:ilvl="3">
      <w:start w:val="1"/>
      <w:numFmt w:val="decimal"/>
      <w:pStyle w:val="Heading4"/>
      <w:lvlText w:val="%1.%2.%3.%4."/>
      <w:lvlJc w:val="left"/>
      <w:pPr>
        <w:tabs>
          <w:tab w:val="left" w:pos="0"/>
        </w:tabs>
        <w:ind w:left="1134" w:hanging="1134"/>
      </w:pPr>
      <w:rPr>
        <w:rFonts w:asciiTheme="minorHAnsi" w:hAnsiTheme="minorHAnsi" w:hint="default"/>
        <w:b/>
        <w:i w:val="0"/>
        <w:color w:val="00558C"/>
        <w:sz w:val="22"/>
      </w:rPr>
    </w:lvl>
    <w:lvl w:ilvl="4">
      <w:start w:val="1"/>
      <w:numFmt w:val="decimal"/>
      <w:pStyle w:val="Heading5"/>
      <w:lvlText w:val="%1.%2.%3.%4.%5"/>
      <w:lvlJc w:val="left"/>
      <w:pPr>
        <w:ind w:left="1008" w:hanging="1008"/>
      </w:pPr>
      <w:rPr>
        <w:rFonts w:ascii="Calibri" w:hAnsi="Calibri" w:hint="default"/>
        <w:color w:val="00558C"/>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3" w15:restartNumberingAfterBreak="0">
    <w:nsid w:val="69E674AF"/>
    <w:multiLevelType w:val="multilevel"/>
    <w:tmpl w:val="69E674AF"/>
    <w:lvl w:ilvl="0">
      <w:start w:val="1"/>
      <w:numFmt w:val="decimal"/>
      <w:pStyle w:val="AnnexTable"/>
      <w:lvlText w:val="Table %1"/>
      <w:lvlJc w:val="left"/>
      <w:pPr>
        <w:tabs>
          <w:tab w:val="left" w:pos="1134"/>
        </w:tabs>
        <w:ind w:left="1134" w:hanging="1134"/>
      </w:pPr>
      <w:rPr>
        <w:rFonts w:ascii="Arial" w:hAnsi="Arial" w:hint="default"/>
        <w:b w:val="0"/>
        <w:i/>
        <w:sz w:val="22"/>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4" w15:restartNumberingAfterBreak="0">
    <w:nsid w:val="6C9C62AB"/>
    <w:multiLevelType w:val="multilevel"/>
    <w:tmpl w:val="6C9C62AB"/>
    <w:lvl w:ilvl="0">
      <w:start w:val="1"/>
      <w:numFmt w:val="decimal"/>
      <w:lvlText w:val="%1"/>
      <w:lvlJc w:val="left"/>
      <w:pPr>
        <w:ind w:left="567" w:hanging="567"/>
      </w:pPr>
      <w:rPr>
        <w:rFonts w:asciiTheme="minorHAnsi" w:hAnsiTheme="minorHAnsi" w:hint="default"/>
        <w:b w:val="0"/>
        <w:i w:val="0"/>
        <w:sz w:val="22"/>
      </w:rPr>
    </w:lvl>
    <w:lvl w:ilvl="1">
      <w:start w:val="1"/>
      <w:numFmt w:val="lowerLetter"/>
      <w:pStyle w:val="Lista"/>
      <w:lvlText w:val="%2"/>
      <w:lvlJc w:val="left"/>
      <w:pPr>
        <w:ind w:left="1134" w:hanging="567"/>
      </w:pPr>
      <w:rPr>
        <w:rFonts w:asciiTheme="minorHAnsi" w:hAnsiTheme="minorHAnsi" w:hint="default"/>
        <w:b w:val="0"/>
        <w:i w:val="0"/>
        <w:sz w:val="22"/>
      </w:rPr>
    </w:lvl>
    <w:lvl w:ilvl="2">
      <w:start w:val="1"/>
      <w:numFmt w:val="lowerRoman"/>
      <w:pStyle w:val="Listi"/>
      <w:lvlText w:val="%3"/>
      <w:lvlJc w:val="left"/>
      <w:pPr>
        <w:ind w:left="2268" w:hanging="567"/>
      </w:pPr>
      <w:rPr>
        <w:rFonts w:asciiTheme="minorHAnsi" w:hAnsiTheme="minorHAnsi" w:hint="default"/>
        <w:b w:val="0"/>
        <w:i w:val="0"/>
        <w:sz w:val="20"/>
      </w:rPr>
    </w:lvl>
    <w:lvl w:ilvl="3">
      <w:start w:val="1"/>
      <w:numFmt w:val="decimal"/>
      <w:lvlText w:val="(%4)"/>
      <w:lvlJc w:val="left"/>
      <w:pPr>
        <w:ind w:left="2858" w:hanging="360"/>
      </w:pPr>
      <w:rPr>
        <w:rFonts w:hint="default"/>
      </w:rPr>
    </w:lvl>
    <w:lvl w:ilvl="4">
      <w:start w:val="1"/>
      <w:numFmt w:val="lowerLetter"/>
      <w:lvlText w:val="(%5)"/>
      <w:lvlJc w:val="left"/>
      <w:pPr>
        <w:ind w:left="3218" w:hanging="360"/>
      </w:pPr>
      <w:rPr>
        <w:rFonts w:hint="default"/>
      </w:rPr>
    </w:lvl>
    <w:lvl w:ilvl="5">
      <w:start w:val="1"/>
      <w:numFmt w:val="lowerRoman"/>
      <w:lvlText w:val="(%6)"/>
      <w:lvlJc w:val="left"/>
      <w:pPr>
        <w:ind w:left="3578" w:hanging="360"/>
      </w:pPr>
      <w:rPr>
        <w:rFonts w:hint="default"/>
      </w:rPr>
    </w:lvl>
    <w:lvl w:ilvl="6">
      <w:start w:val="1"/>
      <w:numFmt w:val="decimal"/>
      <w:lvlText w:val="%7."/>
      <w:lvlJc w:val="left"/>
      <w:pPr>
        <w:ind w:left="3938" w:hanging="360"/>
      </w:pPr>
      <w:rPr>
        <w:rFonts w:hint="default"/>
      </w:rPr>
    </w:lvl>
    <w:lvl w:ilvl="7">
      <w:start w:val="1"/>
      <w:numFmt w:val="lowerLetter"/>
      <w:lvlText w:val="%8."/>
      <w:lvlJc w:val="left"/>
      <w:pPr>
        <w:ind w:left="4298" w:hanging="360"/>
      </w:pPr>
      <w:rPr>
        <w:rFonts w:hint="default"/>
      </w:rPr>
    </w:lvl>
    <w:lvl w:ilvl="8">
      <w:start w:val="1"/>
      <w:numFmt w:val="lowerRoman"/>
      <w:lvlText w:val="%9."/>
      <w:lvlJc w:val="left"/>
      <w:pPr>
        <w:ind w:left="4658" w:hanging="360"/>
      </w:pPr>
      <w:rPr>
        <w:rFonts w:hint="default"/>
      </w:rPr>
    </w:lvl>
  </w:abstractNum>
  <w:abstractNum w:abstractNumId="25" w15:restartNumberingAfterBreak="0">
    <w:nsid w:val="76D64DA6"/>
    <w:multiLevelType w:val="multilevel"/>
    <w:tmpl w:val="76D64DA6"/>
    <w:lvl w:ilvl="0">
      <w:start w:val="1"/>
      <w:numFmt w:val="bullet"/>
      <w:pStyle w:val="Bullet3"/>
      <w:lvlText w:val="o"/>
      <w:lvlJc w:val="left"/>
      <w:pPr>
        <w:ind w:left="1211" w:hanging="360"/>
      </w:pPr>
      <w:rPr>
        <w:rFonts w:ascii="Courier New" w:hAnsi="Courier New" w:cs="Courier New"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7BB11B89"/>
    <w:multiLevelType w:val="multilevel"/>
    <w:tmpl w:val="7BB11B89"/>
    <w:lvl w:ilvl="0">
      <w:start w:val="1"/>
      <w:numFmt w:val="bullet"/>
      <w:pStyle w:val="Bullet2"/>
      <w:lvlText w:val=""/>
      <w:lvlJc w:val="left"/>
      <w:pPr>
        <w:ind w:left="851" w:hanging="426"/>
      </w:pPr>
      <w:rPr>
        <w:rFonts w:ascii="Symbol" w:hAnsi="Symbol" w:hint="default"/>
        <w:color w:val="B2C1ED"/>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082022386">
    <w:abstractNumId w:val="22"/>
  </w:num>
  <w:num w:numId="2" w16cid:durableId="988170025">
    <w:abstractNumId w:val="3"/>
  </w:num>
  <w:num w:numId="3" w16cid:durableId="1319186269">
    <w:abstractNumId w:val="6"/>
  </w:num>
  <w:num w:numId="4" w16cid:durableId="1690446252">
    <w:abstractNumId w:val="17"/>
  </w:num>
  <w:num w:numId="5" w16cid:durableId="139004857">
    <w:abstractNumId w:val="4"/>
  </w:num>
  <w:num w:numId="6" w16cid:durableId="1801993562">
    <w:abstractNumId w:val="23"/>
  </w:num>
  <w:num w:numId="7" w16cid:durableId="995258077">
    <w:abstractNumId w:val="21"/>
  </w:num>
  <w:num w:numId="8" w16cid:durableId="268660173">
    <w:abstractNumId w:val="26"/>
  </w:num>
  <w:num w:numId="9" w16cid:durableId="751002770">
    <w:abstractNumId w:val="25"/>
  </w:num>
  <w:num w:numId="10" w16cid:durableId="1500849127">
    <w:abstractNumId w:val="20"/>
  </w:num>
  <w:num w:numId="11" w16cid:durableId="1030373485">
    <w:abstractNumId w:val="16"/>
  </w:num>
  <w:num w:numId="12" w16cid:durableId="587734310">
    <w:abstractNumId w:val="18"/>
  </w:num>
  <w:num w:numId="13" w16cid:durableId="2145349904">
    <w:abstractNumId w:val="15"/>
  </w:num>
  <w:num w:numId="14" w16cid:durableId="1859738247">
    <w:abstractNumId w:val="8"/>
  </w:num>
  <w:num w:numId="15" w16cid:durableId="1820656332">
    <w:abstractNumId w:val="5"/>
  </w:num>
  <w:num w:numId="16" w16cid:durableId="491484773">
    <w:abstractNumId w:val="7"/>
  </w:num>
  <w:num w:numId="17" w16cid:durableId="381636778">
    <w:abstractNumId w:val="24"/>
  </w:num>
  <w:num w:numId="18" w16cid:durableId="245575796">
    <w:abstractNumId w:val="11"/>
  </w:num>
  <w:num w:numId="19" w16cid:durableId="2021930164">
    <w:abstractNumId w:val="12"/>
  </w:num>
  <w:num w:numId="20" w16cid:durableId="1417707425">
    <w:abstractNumId w:val="10"/>
  </w:num>
  <w:num w:numId="21" w16cid:durableId="687950967">
    <w:abstractNumId w:val="9"/>
  </w:num>
  <w:num w:numId="22" w16cid:durableId="291717552">
    <w:abstractNumId w:val="19"/>
  </w:num>
  <w:num w:numId="23" w16cid:durableId="1677884230">
    <w:abstractNumId w:val="14"/>
  </w:num>
  <w:num w:numId="24" w16cid:durableId="515268743">
    <w:abstractNumId w:val="13"/>
  </w:num>
  <w:num w:numId="25" w16cid:durableId="15488796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581986517">
    <w:abstractNumId w:val="2"/>
  </w:num>
  <w:num w:numId="27" w16cid:durableId="1210342054">
    <w:abstractNumId w:val="0"/>
  </w:num>
  <w:num w:numId="28" w16cid:durableId="136118398">
    <w:abstractNumId w:val="1"/>
  </w:num>
  <w:num w:numId="29" w16cid:durableId="39855385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4311139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590869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35496116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40556225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50864552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37338407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7"/>
  <w:displayBackgroundShape/>
  <w:embedTrueTypeFonts/>
  <w:saveSubsetFonts/>
  <w:bordersDoNotSurroundHeader/>
  <w:bordersDoNotSurroundFooter/>
  <w:defaultTabStop w:val="720"/>
  <w:hyphenationZone w:val="425"/>
  <w:drawingGridHorizontalSpacing w:val="12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G3NDKyALLMTM3NjJV0lIJTi4sz8/NACgxrAXLxrRssAAAA"/>
    <w:docVar w:name="commondata" w:val="eyJoZGlkIjoiOGE1Y2I1ZmQ0NjkwNzQzYTRhNmI1MGVmZjhlYmUxYjYifQ=="/>
  </w:docVars>
  <w:rsids>
    <w:rsidRoot w:val="00172A27"/>
    <w:rsid w:val="000005D3"/>
    <w:rsid w:val="000049D8"/>
    <w:rsid w:val="00036B9E"/>
    <w:rsid w:val="00037DF4"/>
    <w:rsid w:val="0004700E"/>
    <w:rsid w:val="00057FCA"/>
    <w:rsid w:val="00070C13"/>
    <w:rsid w:val="000715C9"/>
    <w:rsid w:val="00084F33"/>
    <w:rsid w:val="000A32BB"/>
    <w:rsid w:val="000A77A7"/>
    <w:rsid w:val="000B1707"/>
    <w:rsid w:val="000C1B3E"/>
    <w:rsid w:val="000C349E"/>
    <w:rsid w:val="000C5487"/>
    <w:rsid w:val="00110203"/>
    <w:rsid w:val="00110AE7"/>
    <w:rsid w:val="001241C8"/>
    <w:rsid w:val="00126B40"/>
    <w:rsid w:val="001405FE"/>
    <w:rsid w:val="00172A27"/>
    <w:rsid w:val="00177F4D"/>
    <w:rsid w:val="00180DDA"/>
    <w:rsid w:val="001B2A2D"/>
    <w:rsid w:val="001B737D"/>
    <w:rsid w:val="001C44A3"/>
    <w:rsid w:val="001C77BB"/>
    <w:rsid w:val="001E0E15"/>
    <w:rsid w:val="001F528A"/>
    <w:rsid w:val="001F704E"/>
    <w:rsid w:val="00201722"/>
    <w:rsid w:val="002125B0"/>
    <w:rsid w:val="002129BF"/>
    <w:rsid w:val="00221E08"/>
    <w:rsid w:val="00237D7C"/>
    <w:rsid w:val="00243228"/>
    <w:rsid w:val="00251483"/>
    <w:rsid w:val="002535A7"/>
    <w:rsid w:val="00255CAA"/>
    <w:rsid w:val="0025741F"/>
    <w:rsid w:val="00264305"/>
    <w:rsid w:val="00286FEF"/>
    <w:rsid w:val="002A0346"/>
    <w:rsid w:val="002A0929"/>
    <w:rsid w:val="002A4487"/>
    <w:rsid w:val="002B49E9"/>
    <w:rsid w:val="002C632E"/>
    <w:rsid w:val="002D3E8B"/>
    <w:rsid w:val="002D4575"/>
    <w:rsid w:val="002D5C0C"/>
    <w:rsid w:val="002E03D1"/>
    <w:rsid w:val="002E6B74"/>
    <w:rsid w:val="002E6FCA"/>
    <w:rsid w:val="003351C4"/>
    <w:rsid w:val="00336BEE"/>
    <w:rsid w:val="0035243F"/>
    <w:rsid w:val="00356CD0"/>
    <w:rsid w:val="00362CD9"/>
    <w:rsid w:val="003740CD"/>
    <w:rsid w:val="003761CA"/>
    <w:rsid w:val="0038049E"/>
    <w:rsid w:val="00380DAF"/>
    <w:rsid w:val="0039367B"/>
    <w:rsid w:val="003972CE"/>
    <w:rsid w:val="003B03D7"/>
    <w:rsid w:val="003B2635"/>
    <w:rsid w:val="003B28F5"/>
    <w:rsid w:val="003B7B7D"/>
    <w:rsid w:val="003C54CB"/>
    <w:rsid w:val="003C7A2A"/>
    <w:rsid w:val="003D25A2"/>
    <w:rsid w:val="003D2DC1"/>
    <w:rsid w:val="003D69D0"/>
    <w:rsid w:val="003F2918"/>
    <w:rsid w:val="003F430E"/>
    <w:rsid w:val="003F50A1"/>
    <w:rsid w:val="0041088C"/>
    <w:rsid w:val="0041230E"/>
    <w:rsid w:val="00420A38"/>
    <w:rsid w:val="00426DB3"/>
    <w:rsid w:val="00431B19"/>
    <w:rsid w:val="004533B7"/>
    <w:rsid w:val="004541CB"/>
    <w:rsid w:val="004661AD"/>
    <w:rsid w:val="00473FA7"/>
    <w:rsid w:val="00480615"/>
    <w:rsid w:val="004D1D85"/>
    <w:rsid w:val="004D3C3A"/>
    <w:rsid w:val="004E1CD1"/>
    <w:rsid w:val="004F7616"/>
    <w:rsid w:val="0050690E"/>
    <w:rsid w:val="005107EB"/>
    <w:rsid w:val="00521345"/>
    <w:rsid w:val="00526DF0"/>
    <w:rsid w:val="00545CC4"/>
    <w:rsid w:val="00551FFF"/>
    <w:rsid w:val="0055646D"/>
    <w:rsid w:val="005607A2"/>
    <w:rsid w:val="0057198B"/>
    <w:rsid w:val="00573CFE"/>
    <w:rsid w:val="00577D54"/>
    <w:rsid w:val="005969F2"/>
    <w:rsid w:val="00597FAE"/>
    <w:rsid w:val="005B32A3"/>
    <w:rsid w:val="005C0D44"/>
    <w:rsid w:val="005C3F7C"/>
    <w:rsid w:val="005C566C"/>
    <w:rsid w:val="005C7E69"/>
    <w:rsid w:val="005E0E47"/>
    <w:rsid w:val="005E262D"/>
    <w:rsid w:val="005F037B"/>
    <w:rsid w:val="005F23D3"/>
    <w:rsid w:val="005F35AC"/>
    <w:rsid w:val="005F7E20"/>
    <w:rsid w:val="00605E43"/>
    <w:rsid w:val="006153BB"/>
    <w:rsid w:val="006250AB"/>
    <w:rsid w:val="00635ADD"/>
    <w:rsid w:val="00637047"/>
    <w:rsid w:val="006652C3"/>
    <w:rsid w:val="00691FD0"/>
    <w:rsid w:val="00692148"/>
    <w:rsid w:val="006A1A1E"/>
    <w:rsid w:val="006C5948"/>
    <w:rsid w:val="006E2121"/>
    <w:rsid w:val="006F2A74"/>
    <w:rsid w:val="0070697D"/>
    <w:rsid w:val="007118F5"/>
    <w:rsid w:val="00712AA4"/>
    <w:rsid w:val="007146C4"/>
    <w:rsid w:val="00721AA1"/>
    <w:rsid w:val="00724B67"/>
    <w:rsid w:val="007547F8"/>
    <w:rsid w:val="00765622"/>
    <w:rsid w:val="00770B6C"/>
    <w:rsid w:val="00774730"/>
    <w:rsid w:val="00783FEA"/>
    <w:rsid w:val="007926DC"/>
    <w:rsid w:val="007972DF"/>
    <w:rsid w:val="007A395D"/>
    <w:rsid w:val="007C346C"/>
    <w:rsid w:val="007D2D7C"/>
    <w:rsid w:val="007D63E3"/>
    <w:rsid w:val="0080294B"/>
    <w:rsid w:val="0082480E"/>
    <w:rsid w:val="00834E71"/>
    <w:rsid w:val="00843B4E"/>
    <w:rsid w:val="00850293"/>
    <w:rsid w:val="00851373"/>
    <w:rsid w:val="00851BA6"/>
    <w:rsid w:val="0085654D"/>
    <w:rsid w:val="00861160"/>
    <w:rsid w:val="00861801"/>
    <w:rsid w:val="0086654F"/>
    <w:rsid w:val="008702A8"/>
    <w:rsid w:val="0087239B"/>
    <w:rsid w:val="00892CA4"/>
    <w:rsid w:val="008A356F"/>
    <w:rsid w:val="008A3ECA"/>
    <w:rsid w:val="008A4653"/>
    <w:rsid w:val="008A4717"/>
    <w:rsid w:val="008A50CC"/>
    <w:rsid w:val="008D1694"/>
    <w:rsid w:val="008D79CB"/>
    <w:rsid w:val="008E28CC"/>
    <w:rsid w:val="008F07BC"/>
    <w:rsid w:val="00904066"/>
    <w:rsid w:val="0092692B"/>
    <w:rsid w:val="00943E9C"/>
    <w:rsid w:val="00953F4D"/>
    <w:rsid w:val="00960BB8"/>
    <w:rsid w:val="00964F5C"/>
    <w:rsid w:val="00973B57"/>
    <w:rsid w:val="009831C0"/>
    <w:rsid w:val="009874F9"/>
    <w:rsid w:val="0099161D"/>
    <w:rsid w:val="009C43D9"/>
    <w:rsid w:val="009C5F41"/>
    <w:rsid w:val="009E5B47"/>
    <w:rsid w:val="00A01B17"/>
    <w:rsid w:val="00A0389B"/>
    <w:rsid w:val="00A15794"/>
    <w:rsid w:val="00A26017"/>
    <w:rsid w:val="00A446C9"/>
    <w:rsid w:val="00A56C33"/>
    <w:rsid w:val="00A614FF"/>
    <w:rsid w:val="00A635D6"/>
    <w:rsid w:val="00A72757"/>
    <w:rsid w:val="00A777D2"/>
    <w:rsid w:val="00A800A9"/>
    <w:rsid w:val="00A8553A"/>
    <w:rsid w:val="00A93AED"/>
    <w:rsid w:val="00AE1319"/>
    <w:rsid w:val="00AE34BB"/>
    <w:rsid w:val="00B0084A"/>
    <w:rsid w:val="00B0520E"/>
    <w:rsid w:val="00B226F2"/>
    <w:rsid w:val="00B274DF"/>
    <w:rsid w:val="00B351F6"/>
    <w:rsid w:val="00B56BDF"/>
    <w:rsid w:val="00B65812"/>
    <w:rsid w:val="00B661C7"/>
    <w:rsid w:val="00B80530"/>
    <w:rsid w:val="00B85CD6"/>
    <w:rsid w:val="00B90A27"/>
    <w:rsid w:val="00B93C77"/>
    <w:rsid w:val="00B9554D"/>
    <w:rsid w:val="00BA4DA9"/>
    <w:rsid w:val="00BA7F0A"/>
    <w:rsid w:val="00BB2B9F"/>
    <w:rsid w:val="00BB5F80"/>
    <w:rsid w:val="00BB7D9E"/>
    <w:rsid w:val="00BC2334"/>
    <w:rsid w:val="00BC301F"/>
    <w:rsid w:val="00BD1919"/>
    <w:rsid w:val="00BD3CB8"/>
    <w:rsid w:val="00BD4E6F"/>
    <w:rsid w:val="00BE0685"/>
    <w:rsid w:val="00BE700D"/>
    <w:rsid w:val="00BF32F0"/>
    <w:rsid w:val="00BF4DCE"/>
    <w:rsid w:val="00C02DDD"/>
    <w:rsid w:val="00C05CE5"/>
    <w:rsid w:val="00C30634"/>
    <w:rsid w:val="00C52A4D"/>
    <w:rsid w:val="00C6171E"/>
    <w:rsid w:val="00C865DF"/>
    <w:rsid w:val="00CA6F2C"/>
    <w:rsid w:val="00CC79CE"/>
    <w:rsid w:val="00CF1871"/>
    <w:rsid w:val="00D019CE"/>
    <w:rsid w:val="00D1133E"/>
    <w:rsid w:val="00D17A34"/>
    <w:rsid w:val="00D26628"/>
    <w:rsid w:val="00D332B3"/>
    <w:rsid w:val="00D423E5"/>
    <w:rsid w:val="00D55207"/>
    <w:rsid w:val="00D60825"/>
    <w:rsid w:val="00D701AF"/>
    <w:rsid w:val="00D81801"/>
    <w:rsid w:val="00D92B45"/>
    <w:rsid w:val="00D95962"/>
    <w:rsid w:val="00DC389B"/>
    <w:rsid w:val="00DE2FEE"/>
    <w:rsid w:val="00E00BE9"/>
    <w:rsid w:val="00E04761"/>
    <w:rsid w:val="00E22A11"/>
    <w:rsid w:val="00E31E5C"/>
    <w:rsid w:val="00E44DD2"/>
    <w:rsid w:val="00E558C3"/>
    <w:rsid w:val="00E55927"/>
    <w:rsid w:val="00E55FBC"/>
    <w:rsid w:val="00E912A6"/>
    <w:rsid w:val="00EA4844"/>
    <w:rsid w:val="00EA4D9C"/>
    <w:rsid w:val="00EA5A97"/>
    <w:rsid w:val="00EB75EE"/>
    <w:rsid w:val="00EC272E"/>
    <w:rsid w:val="00ED026A"/>
    <w:rsid w:val="00EE4C1D"/>
    <w:rsid w:val="00EF3685"/>
    <w:rsid w:val="00F04350"/>
    <w:rsid w:val="00F133DB"/>
    <w:rsid w:val="00F159EB"/>
    <w:rsid w:val="00F16A52"/>
    <w:rsid w:val="00F25BF4"/>
    <w:rsid w:val="00F267DB"/>
    <w:rsid w:val="00F46F6F"/>
    <w:rsid w:val="00F547B0"/>
    <w:rsid w:val="00F60608"/>
    <w:rsid w:val="00F62217"/>
    <w:rsid w:val="00F71ACC"/>
    <w:rsid w:val="00F74A2A"/>
    <w:rsid w:val="00F83FE8"/>
    <w:rsid w:val="00FB17A9"/>
    <w:rsid w:val="00FB527C"/>
    <w:rsid w:val="00FB6F75"/>
    <w:rsid w:val="00FC0EB3"/>
    <w:rsid w:val="00FD675E"/>
    <w:rsid w:val="00FE5674"/>
    <w:rsid w:val="014F52BD"/>
    <w:rsid w:val="01EB45BC"/>
    <w:rsid w:val="01FB205B"/>
    <w:rsid w:val="030B2A3C"/>
    <w:rsid w:val="0449239F"/>
    <w:rsid w:val="052022CC"/>
    <w:rsid w:val="05ED01D7"/>
    <w:rsid w:val="06F01ED9"/>
    <w:rsid w:val="07B2792A"/>
    <w:rsid w:val="07DC0503"/>
    <w:rsid w:val="0878647D"/>
    <w:rsid w:val="08D24DC7"/>
    <w:rsid w:val="09376339"/>
    <w:rsid w:val="0A557412"/>
    <w:rsid w:val="0B6A08BD"/>
    <w:rsid w:val="0C811679"/>
    <w:rsid w:val="0C816884"/>
    <w:rsid w:val="0CCA5FEC"/>
    <w:rsid w:val="0D091966"/>
    <w:rsid w:val="0D1D75F3"/>
    <w:rsid w:val="0DB5640A"/>
    <w:rsid w:val="0E39220B"/>
    <w:rsid w:val="0EE06B2A"/>
    <w:rsid w:val="0F53554E"/>
    <w:rsid w:val="108F25B6"/>
    <w:rsid w:val="10994EC9"/>
    <w:rsid w:val="10EC7A09"/>
    <w:rsid w:val="11C269BB"/>
    <w:rsid w:val="11DA3D05"/>
    <w:rsid w:val="11F72B09"/>
    <w:rsid w:val="12385CB5"/>
    <w:rsid w:val="12664863"/>
    <w:rsid w:val="12AB56A1"/>
    <w:rsid w:val="12B12646"/>
    <w:rsid w:val="12EF558E"/>
    <w:rsid w:val="130678AC"/>
    <w:rsid w:val="132E30C3"/>
    <w:rsid w:val="13541895"/>
    <w:rsid w:val="13754E94"/>
    <w:rsid w:val="13E0224D"/>
    <w:rsid w:val="142B0AAA"/>
    <w:rsid w:val="14EF1875"/>
    <w:rsid w:val="156C2EC6"/>
    <w:rsid w:val="163A6E58"/>
    <w:rsid w:val="16FF070E"/>
    <w:rsid w:val="1702485A"/>
    <w:rsid w:val="17105E78"/>
    <w:rsid w:val="1780534F"/>
    <w:rsid w:val="18300B23"/>
    <w:rsid w:val="190E5BF0"/>
    <w:rsid w:val="19923902"/>
    <w:rsid w:val="1A206975"/>
    <w:rsid w:val="1A8011C2"/>
    <w:rsid w:val="1BA86C22"/>
    <w:rsid w:val="1C294840"/>
    <w:rsid w:val="1C6E39C8"/>
    <w:rsid w:val="1CAA7120"/>
    <w:rsid w:val="1CCC6940"/>
    <w:rsid w:val="1CD04682"/>
    <w:rsid w:val="1D76522A"/>
    <w:rsid w:val="1DD92426"/>
    <w:rsid w:val="1EFA1543"/>
    <w:rsid w:val="1F43743A"/>
    <w:rsid w:val="204213F3"/>
    <w:rsid w:val="20686980"/>
    <w:rsid w:val="2099171C"/>
    <w:rsid w:val="21B563B2"/>
    <w:rsid w:val="22CE0CC8"/>
    <w:rsid w:val="22EA7B20"/>
    <w:rsid w:val="2300637F"/>
    <w:rsid w:val="23CC1481"/>
    <w:rsid w:val="25413422"/>
    <w:rsid w:val="255E22F6"/>
    <w:rsid w:val="26CB1A16"/>
    <w:rsid w:val="27CA7A48"/>
    <w:rsid w:val="286640ED"/>
    <w:rsid w:val="28F9286B"/>
    <w:rsid w:val="29AB625B"/>
    <w:rsid w:val="2D0B0D46"/>
    <w:rsid w:val="2D87671B"/>
    <w:rsid w:val="2E4455B5"/>
    <w:rsid w:val="2EC92CDF"/>
    <w:rsid w:val="2EE43FBD"/>
    <w:rsid w:val="2EF7784D"/>
    <w:rsid w:val="2F236894"/>
    <w:rsid w:val="2FF43D8C"/>
    <w:rsid w:val="305B205D"/>
    <w:rsid w:val="30D36097"/>
    <w:rsid w:val="315D2D09"/>
    <w:rsid w:val="31C0661C"/>
    <w:rsid w:val="31E87420"/>
    <w:rsid w:val="32072308"/>
    <w:rsid w:val="340842AA"/>
    <w:rsid w:val="341B3FDD"/>
    <w:rsid w:val="3434509F"/>
    <w:rsid w:val="34BF0E0C"/>
    <w:rsid w:val="35644CBB"/>
    <w:rsid w:val="361A2073"/>
    <w:rsid w:val="36D6243D"/>
    <w:rsid w:val="3757357E"/>
    <w:rsid w:val="37695060"/>
    <w:rsid w:val="37B207B5"/>
    <w:rsid w:val="397877DC"/>
    <w:rsid w:val="397C12AD"/>
    <w:rsid w:val="3AB25A08"/>
    <w:rsid w:val="3B410C19"/>
    <w:rsid w:val="3C1852A6"/>
    <w:rsid w:val="3C756255"/>
    <w:rsid w:val="3CF52D41"/>
    <w:rsid w:val="3E0E4BB3"/>
    <w:rsid w:val="3E3143FD"/>
    <w:rsid w:val="3E91458F"/>
    <w:rsid w:val="3EC314F9"/>
    <w:rsid w:val="3FA47009"/>
    <w:rsid w:val="3FB47094"/>
    <w:rsid w:val="408C2FBB"/>
    <w:rsid w:val="413B7A6D"/>
    <w:rsid w:val="41AC4A20"/>
    <w:rsid w:val="41FF0A9A"/>
    <w:rsid w:val="423821FE"/>
    <w:rsid w:val="4336376A"/>
    <w:rsid w:val="43934B64"/>
    <w:rsid w:val="43943464"/>
    <w:rsid w:val="447339C1"/>
    <w:rsid w:val="44CA116A"/>
    <w:rsid w:val="45AA51C1"/>
    <w:rsid w:val="462211FB"/>
    <w:rsid w:val="46A531B6"/>
    <w:rsid w:val="473E2065"/>
    <w:rsid w:val="47C0321B"/>
    <w:rsid w:val="488D0DC0"/>
    <w:rsid w:val="48C20A74"/>
    <w:rsid w:val="49325BF9"/>
    <w:rsid w:val="4A722025"/>
    <w:rsid w:val="4B5B7797"/>
    <w:rsid w:val="4B696742"/>
    <w:rsid w:val="4B991F60"/>
    <w:rsid w:val="4BC349BE"/>
    <w:rsid w:val="4BD42392"/>
    <w:rsid w:val="4BE96317"/>
    <w:rsid w:val="4C4D4AF8"/>
    <w:rsid w:val="4D1E2F5E"/>
    <w:rsid w:val="4D220E31"/>
    <w:rsid w:val="4E261B6B"/>
    <w:rsid w:val="4EA96B54"/>
    <w:rsid w:val="4F764366"/>
    <w:rsid w:val="4F781E8C"/>
    <w:rsid w:val="4F7B372A"/>
    <w:rsid w:val="50127388"/>
    <w:rsid w:val="50EA304C"/>
    <w:rsid w:val="516C5AE1"/>
    <w:rsid w:val="51F42A31"/>
    <w:rsid w:val="521F6F37"/>
    <w:rsid w:val="525A4708"/>
    <w:rsid w:val="52E6760E"/>
    <w:rsid w:val="53762B86"/>
    <w:rsid w:val="53D14261"/>
    <w:rsid w:val="54617393"/>
    <w:rsid w:val="5503044A"/>
    <w:rsid w:val="55B74F08"/>
    <w:rsid w:val="55EE2EA8"/>
    <w:rsid w:val="574174DD"/>
    <w:rsid w:val="574A05B2"/>
    <w:rsid w:val="58E73667"/>
    <w:rsid w:val="59253085"/>
    <w:rsid w:val="598D4786"/>
    <w:rsid w:val="59915B0A"/>
    <w:rsid w:val="5A0F163F"/>
    <w:rsid w:val="5A387A8D"/>
    <w:rsid w:val="5AC84604"/>
    <w:rsid w:val="5BB36D43"/>
    <w:rsid w:val="5CD526CC"/>
    <w:rsid w:val="5E916AC6"/>
    <w:rsid w:val="5EE017FC"/>
    <w:rsid w:val="5EF552A7"/>
    <w:rsid w:val="5F827A8F"/>
    <w:rsid w:val="5FBC5DC5"/>
    <w:rsid w:val="61BF1B9C"/>
    <w:rsid w:val="636605AB"/>
    <w:rsid w:val="63E279EC"/>
    <w:rsid w:val="64340620"/>
    <w:rsid w:val="64BB489D"/>
    <w:rsid w:val="65000502"/>
    <w:rsid w:val="6530391D"/>
    <w:rsid w:val="65D7028E"/>
    <w:rsid w:val="65F30067"/>
    <w:rsid w:val="66FC2F4B"/>
    <w:rsid w:val="679B09B6"/>
    <w:rsid w:val="67EB5499"/>
    <w:rsid w:val="68460921"/>
    <w:rsid w:val="691C78D4"/>
    <w:rsid w:val="69CC30A8"/>
    <w:rsid w:val="69DA3A17"/>
    <w:rsid w:val="69FE3469"/>
    <w:rsid w:val="6A3E1C4F"/>
    <w:rsid w:val="6B540768"/>
    <w:rsid w:val="6BA51E03"/>
    <w:rsid w:val="6BC74D58"/>
    <w:rsid w:val="6BCA1925"/>
    <w:rsid w:val="6C8163CC"/>
    <w:rsid w:val="6D7B2E1B"/>
    <w:rsid w:val="6DF81BA7"/>
    <w:rsid w:val="6E873A42"/>
    <w:rsid w:val="6F3115E6"/>
    <w:rsid w:val="6F6B32A7"/>
    <w:rsid w:val="6FB45735"/>
    <w:rsid w:val="6FCB08A9"/>
    <w:rsid w:val="704354BE"/>
    <w:rsid w:val="70F57389"/>
    <w:rsid w:val="716360A0"/>
    <w:rsid w:val="73934E91"/>
    <w:rsid w:val="744F0B5E"/>
    <w:rsid w:val="747B1953"/>
    <w:rsid w:val="753366D1"/>
    <w:rsid w:val="759E7FEF"/>
    <w:rsid w:val="76157B85"/>
    <w:rsid w:val="76293036"/>
    <w:rsid w:val="769A6A08"/>
    <w:rsid w:val="76FD0A1C"/>
    <w:rsid w:val="772E7150"/>
    <w:rsid w:val="77F02658"/>
    <w:rsid w:val="78F63C9E"/>
    <w:rsid w:val="79797DE9"/>
    <w:rsid w:val="79F76832"/>
    <w:rsid w:val="7AA31C03"/>
    <w:rsid w:val="7AA716F4"/>
    <w:rsid w:val="7AC202DC"/>
    <w:rsid w:val="7B255C16"/>
    <w:rsid w:val="7B7A2964"/>
    <w:rsid w:val="7C24379D"/>
    <w:rsid w:val="7E07040C"/>
    <w:rsid w:val="7EF33268"/>
    <w:rsid w:val="7F190115"/>
    <w:rsid w:val="7FAD028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6C44519B"/>
  <w15:docId w15:val="{51A70CB9-377D-43A8-8E29-0A2FC60C00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unhideWhenUsed="1" w:qFormat="1"/>
    <w:lsdException w:name="toc 4" w:uiPriority="39" w:unhideWhenUsed="1" w:qFormat="1"/>
    <w:lsdException w:name="toc 5" w:uiPriority="39" w:qFormat="1"/>
    <w:lsdException w:name="toc 6" w:uiPriority="0" w:qFormat="1"/>
    <w:lsdException w:name="toc 7" w:uiPriority="0" w:qFormat="1"/>
    <w:lsdException w:name="toc 8" w:uiPriority="0" w:qFormat="1"/>
    <w:lsdException w:name="toc 9" w:uiPriority="0" w:qFormat="1"/>
    <w:lsdException w:name="Normal Indent" w:semiHidden="1" w:unhideWhenUsed="1"/>
    <w:lsdException w:name="footnote text" w:unhideWhenUsed="1" w:qFormat="1"/>
    <w:lsdException w:name="annotation text" w:uiPriority="0" w:unhideWhenUsed="1" w:qFormat="1"/>
    <w:lsdException w:name="header" w:uiPriority="0" w:qFormat="1"/>
    <w:lsdException w:name="footer" w:uiPriority="0"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qFormat="1"/>
    <w:lsdException w:name="annotation reference" w:uiPriority="0"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iPriority="0" w:unhideWhenUsed="1"/>
    <w:lsdException w:name="List Number" w:semiHidden="1" w:uiPriority="0"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unhideWhenUsed="1"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unhideWhenUsed="1"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uiPriority="0" w:qFormat="1"/>
    <w:lsdException w:name="Body Text Indent 3" w:semiHidden="1" w:uiPriority="0" w:unhideWhenUsed="1" w:qFormat="1"/>
    <w:lsdException w:name="Block Text" w:semiHidden="1" w:unhideWhenUsed="1"/>
    <w:lsdException w:name="Hyperlink" w:unhideWhenUsed="1" w:qFormat="1"/>
    <w:lsdException w:name="FollowedHyperlink" w:uiPriority="0" w:qFormat="1"/>
    <w:lsdException w:name="Strong" w:uiPriority="22" w:qFormat="1"/>
    <w:lsdException w:name="Emphasis" w:uiPriority="0" w:qFormat="1"/>
    <w:lsdException w:name="Document Map"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uiPriority="0" w:qFormat="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qFormat="1"/>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216" w:lineRule="atLeast"/>
    </w:pPr>
    <w:rPr>
      <w:rFonts w:asciiTheme="minorHAnsi" w:eastAsiaTheme="minorHAnsi" w:hAnsiTheme="minorHAnsi" w:cstheme="minorBidi"/>
      <w:sz w:val="18"/>
      <w:szCs w:val="22"/>
      <w:lang w:val="en-GB"/>
    </w:rPr>
  </w:style>
  <w:style w:type="paragraph" w:styleId="Heading1">
    <w:name w:val="heading 1"/>
    <w:basedOn w:val="Normal"/>
    <w:next w:val="BodyText"/>
    <w:link w:val="Heading1Char"/>
    <w:uiPriority w:val="1"/>
    <w:qFormat/>
    <w:pPr>
      <w:keepNext/>
      <w:keepLines/>
      <w:numPr>
        <w:numId w:val="1"/>
      </w:numPr>
      <w:spacing w:before="240" w:after="200" w:line="240" w:lineRule="atLeast"/>
      <w:outlineLvl w:val="0"/>
    </w:pPr>
    <w:rPr>
      <w:rFonts w:ascii="Calibri" w:eastAsiaTheme="majorEastAsia" w:hAnsi="Calibri" w:cstheme="majorBidi"/>
      <w:b/>
      <w:bCs/>
      <w:caps/>
      <w:color w:val="00558C"/>
      <w:sz w:val="28"/>
      <w:szCs w:val="24"/>
    </w:rPr>
  </w:style>
  <w:style w:type="paragraph" w:styleId="Heading2">
    <w:name w:val="heading 2"/>
    <w:basedOn w:val="Heading1"/>
    <w:next w:val="BodyText"/>
    <w:link w:val="Heading2Char"/>
    <w:uiPriority w:val="9"/>
    <w:qFormat/>
    <w:pPr>
      <w:numPr>
        <w:ilvl w:val="1"/>
      </w:numPr>
      <w:ind w:right="709"/>
      <w:outlineLvl w:val="1"/>
    </w:pPr>
    <w:rPr>
      <w:bCs w:val="0"/>
      <w:sz w:val="24"/>
    </w:rPr>
  </w:style>
  <w:style w:type="paragraph" w:styleId="Heading3">
    <w:name w:val="heading 3"/>
    <w:basedOn w:val="Heading2"/>
    <w:next w:val="BodyText"/>
    <w:link w:val="Heading3Char"/>
    <w:qFormat/>
    <w:pPr>
      <w:numPr>
        <w:ilvl w:val="2"/>
      </w:numPr>
      <w:spacing w:before="120" w:after="120"/>
      <w:ind w:right="851"/>
      <w:outlineLvl w:val="2"/>
    </w:pPr>
    <w:rPr>
      <w:bCs/>
      <w:caps w:val="0"/>
      <w:smallCaps/>
    </w:rPr>
  </w:style>
  <w:style w:type="paragraph" w:styleId="Heading4">
    <w:name w:val="heading 4"/>
    <w:basedOn w:val="Heading3"/>
    <w:next w:val="BodyText"/>
    <w:link w:val="Heading4Char"/>
    <w:qFormat/>
    <w:pPr>
      <w:numPr>
        <w:ilvl w:val="3"/>
      </w:numPr>
      <w:ind w:right="992"/>
      <w:outlineLvl w:val="3"/>
    </w:pPr>
    <w:rPr>
      <w:bCs w:val="0"/>
      <w:iCs/>
      <w:smallCaps w:val="0"/>
      <w:sz w:val="22"/>
    </w:rPr>
  </w:style>
  <w:style w:type="paragraph" w:styleId="Heading5">
    <w:name w:val="heading 5"/>
    <w:basedOn w:val="Heading4"/>
    <w:next w:val="Normal"/>
    <w:link w:val="Heading5Char"/>
    <w:qFormat/>
    <w:pPr>
      <w:numPr>
        <w:ilvl w:val="4"/>
      </w:numPr>
      <w:spacing w:before="200"/>
      <w:ind w:left="1701" w:hanging="1701"/>
      <w:outlineLvl w:val="4"/>
    </w:pPr>
    <w:rPr>
      <w:b w:val="0"/>
    </w:rPr>
  </w:style>
  <w:style w:type="paragraph" w:styleId="Heading6">
    <w:name w:val="heading 6"/>
    <w:basedOn w:val="Normal"/>
    <w:next w:val="Normal"/>
    <w:link w:val="Heading6Char"/>
    <w:qFormat/>
    <w:pPr>
      <w:keepNext/>
      <w:keepLines/>
      <w:spacing w:before="200"/>
      <w:outlineLvl w:val="5"/>
    </w:pPr>
    <w:rPr>
      <w:rFonts w:asciiTheme="majorHAnsi" w:eastAsiaTheme="majorEastAsia" w:hAnsiTheme="majorHAnsi" w:cstheme="majorBidi"/>
      <w:i/>
      <w:iCs/>
      <w:color w:val="244061" w:themeColor="accent1" w:themeShade="80"/>
    </w:rPr>
  </w:style>
  <w:style w:type="paragraph" w:styleId="Heading7">
    <w:name w:val="heading 7"/>
    <w:basedOn w:val="Normal"/>
    <w:next w:val="Normal"/>
    <w:link w:val="Heading7Char"/>
    <w:qFormat/>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qFormat/>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nhideWhenUsed/>
    <w:qFormat/>
    <w:pPr>
      <w:spacing w:after="120"/>
      <w:jc w:val="both"/>
    </w:pPr>
    <w:rPr>
      <w:sz w:val="22"/>
    </w:rPr>
  </w:style>
  <w:style w:type="paragraph" w:styleId="TOC7">
    <w:name w:val="toc 7"/>
    <w:basedOn w:val="Normal"/>
    <w:next w:val="Normal"/>
    <w:qFormat/>
    <w:pPr>
      <w:spacing w:line="240" w:lineRule="auto"/>
      <w:ind w:left="1200"/>
    </w:pPr>
    <w:rPr>
      <w:rFonts w:ascii="Arial" w:eastAsia="Times New Roman" w:hAnsi="Arial" w:cs="Times New Roman"/>
      <w:sz w:val="20"/>
      <w:szCs w:val="20"/>
    </w:rPr>
  </w:style>
  <w:style w:type="paragraph" w:styleId="ListNumber">
    <w:name w:val="List Number"/>
    <w:basedOn w:val="Normal"/>
    <w:semiHidden/>
    <w:qFormat/>
    <w:pPr>
      <w:numPr>
        <w:numId w:val="2"/>
      </w:numPr>
      <w:contextualSpacing/>
    </w:pPr>
  </w:style>
  <w:style w:type="paragraph" w:styleId="Caption">
    <w:name w:val="caption"/>
    <w:basedOn w:val="Normal"/>
    <w:next w:val="Normal"/>
    <w:uiPriority w:val="35"/>
    <w:qFormat/>
    <w:rPr>
      <w:b/>
      <w:bCs/>
      <w:i/>
      <w:color w:val="575756"/>
      <w:sz w:val="22"/>
      <w:u w:val="single"/>
    </w:rPr>
  </w:style>
  <w:style w:type="paragraph" w:styleId="DocumentMap">
    <w:name w:val="Document Map"/>
    <w:basedOn w:val="Normal"/>
    <w:link w:val="DocumentMapChar"/>
    <w:qFormat/>
    <w:pPr>
      <w:shd w:val="clear" w:color="auto" w:fill="000080"/>
      <w:spacing w:line="240" w:lineRule="auto"/>
    </w:pPr>
    <w:rPr>
      <w:rFonts w:ascii="Tahoma" w:eastAsia="Times New Roman" w:hAnsi="Tahoma" w:cs="Times New Roman"/>
      <w:sz w:val="20"/>
      <w:szCs w:val="24"/>
      <w:lang w:val="de-DE" w:eastAsia="de-DE"/>
    </w:rPr>
  </w:style>
  <w:style w:type="paragraph" w:styleId="CommentText">
    <w:name w:val="annotation text"/>
    <w:basedOn w:val="Normal"/>
    <w:link w:val="CommentTextChar"/>
    <w:unhideWhenUsed/>
    <w:qFormat/>
    <w:pPr>
      <w:spacing w:line="240" w:lineRule="auto"/>
    </w:pPr>
    <w:rPr>
      <w:sz w:val="24"/>
      <w:szCs w:val="24"/>
    </w:rPr>
  </w:style>
  <w:style w:type="paragraph" w:styleId="BodyTextIndent">
    <w:name w:val="Body Text Indent"/>
    <w:basedOn w:val="Normal"/>
    <w:link w:val="BodyTextIndentChar"/>
    <w:qFormat/>
    <w:pPr>
      <w:spacing w:after="120"/>
      <w:ind w:left="567"/>
    </w:pPr>
  </w:style>
  <w:style w:type="paragraph" w:styleId="ListNumber3">
    <w:name w:val="List Number 3"/>
    <w:basedOn w:val="Normal"/>
    <w:uiPriority w:val="99"/>
    <w:unhideWhenUsed/>
    <w:qFormat/>
    <w:pPr>
      <w:contextualSpacing/>
    </w:pPr>
  </w:style>
  <w:style w:type="paragraph" w:styleId="TOC5">
    <w:name w:val="toc 5"/>
    <w:basedOn w:val="Normal"/>
    <w:next w:val="Normal"/>
    <w:uiPriority w:val="39"/>
    <w:qFormat/>
    <w:pPr>
      <w:tabs>
        <w:tab w:val="right" w:leader="dot" w:pos="9781"/>
        <w:tab w:val="right" w:leader="dot" w:pos="10206"/>
      </w:tabs>
      <w:spacing w:before="60" w:after="60" w:line="240" w:lineRule="auto"/>
      <w:ind w:left="1418" w:right="425" w:hanging="1418"/>
    </w:pPr>
    <w:rPr>
      <w:rFonts w:eastAsia="Times New Roman" w:cs="Times New Roman"/>
      <w:b/>
      <w:caps/>
      <w:color w:val="00558C"/>
      <w:sz w:val="22"/>
      <w:szCs w:val="20"/>
    </w:rPr>
  </w:style>
  <w:style w:type="paragraph" w:styleId="TOC3">
    <w:name w:val="toc 3"/>
    <w:basedOn w:val="Normal"/>
    <w:next w:val="Normal"/>
    <w:uiPriority w:val="39"/>
    <w:unhideWhenUsed/>
    <w:qFormat/>
    <w:pPr>
      <w:tabs>
        <w:tab w:val="right" w:leader="dot" w:pos="9781"/>
      </w:tabs>
      <w:spacing w:after="60"/>
      <w:ind w:left="1134" w:hanging="709"/>
    </w:pPr>
    <w:rPr>
      <w:color w:val="00558C"/>
    </w:rPr>
  </w:style>
  <w:style w:type="paragraph" w:styleId="TOC8">
    <w:name w:val="toc 8"/>
    <w:basedOn w:val="Normal"/>
    <w:next w:val="Normal"/>
    <w:qFormat/>
    <w:pPr>
      <w:spacing w:line="240" w:lineRule="auto"/>
      <w:ind w:left="1440"/>
    </w:pPr>
    <w:rPr>
      <w:rFonts w:ascii="Arial" w:eastAsia="Times New Roman" w:hAnsi="Arial" w:cs="Times New Roman"/>
      <w:sz w:val="20"/>
      <w:szCs w:val="20"/>
    </w:rPr>
  </w:style>
  <w:style w:type="paragraph" w:styleId="BodyTextIndent2">
    <w:name w:val="Body Text Indent 2"/>
    <w:basedOn w:val="Normal"/>
    <w:link w:val="BodyTextIndent2Char"/>
    <w:qFormat/>
    <w:pPr>
      <w:spacing w:after="120"/>
      <w:ind w:left="1134"/>
      <w:jc w:val="both"/>
    </w:pPr>
    <w:rPr>
      <w:lang w:eastAsia="de-DE"/>
    </w:rPr>
  </w:style>
  <w:style w:type="paragraph" w:styleId="BalloonText">
    <w:name w:val="Balloon Text"/>
    <w:basedOn w:val="Normal"/>
    <w:link w:val="BalloonTextChar"/>
    <w:qFormat/>
    <w:pPr>
      <w:spacing w:line="240" w:lineRule="auto"/>
    </w:pPr>
    <w:rPr>
      <w:rFonts w:ascii="Tahoma" w:hAnsi="Tahoma" w:cs="Tahoma"/>
      <w:sz w:val="16"/>
      <w:szCs w:val="16"/>
    </w:rPr>
  </w:style>
  <w:style w:type="paragraph" w:styleId="Footer">
    <w:name w:val="footer"/>
    <w:link w:val="FooterChar"/>
    <w:qFormat/>
    <w:pPr>
      <w:spacing w:line="240" w:lineRule="exact"/>
    </w:pPr>
    <w:rPr>
      <w:rFonts w:asciiTheme="minorHAnsi" w:eastAsiaTheme="minorHAnsi" w:hAnsiTheme="minorHAnsi" w:cstheme="minorBidi"/>
      <w:szCs w:val="22"/>
      <w:lang w:val="en-GB"/>
    </w:rPr>
  </w:style>
  <w:style w:type="paragraph" w:styleId="Header">
    <w:name w:val="header"/>
    <w:basedOn w:val="Normal"/>
    <w:link w:val="HeaderChar"/>
    <w:qFormat/>
    <w:pPr>
      <w:spacing w:line="240" w:lineRule="exact"/>
    </w:pPr>
  </w:style>
  <w:style w:type="paragraph" w:styleId="TOC1">
    <w:name w:val="toc 1"/>
    <w:basedOn w:val="Normal"/>
    <w:next w:val="Normal"/>
    <w:uiPriority w:val="39"/>
    <w:qFormat/>
    <w:pPr>
      <w:tabs>
        <w:tab w:val="right" w:leader="dot" w:pos="9781"/>
      </w:tabs>
      <w:spacing w:after="40" w:line="300" w:lineRule="atLeast"/>
      <w:ind w:left="425" w:right="425" w:hanging="425"/>
    </w:pPr>
    <w:rPr>
      <w:b/>
      <w:caps/>
      <w:color w:val="4F81BD" w:themeColor="accent1"/>
      <w:sz w:val="22"/>
    </w:rPr>
  </w:style>
  <w:style w:type="paragraph" w:styleId="TOC4">
    <w:name w:val="toc 4"/>
    <w:basedOn w:val="Normal"/>
    <w:next w:val="Normal"/>
    <w:uiPriority w:val="39"/>
    <w:unhideWhenUsed/>
    <w:qFormat/>
    <w:pPr>
      <w:tabs>
        <w:tab w:val="right" w:leader="dot" w:pos="9781"/>
        <w:tab w:val="right" w:leader="dot" w:pos="10195"/>
      </w:tabs>
      <w:ind w:left="1418" w:right="425" w:hanging="1418"/>
    </w:pPr>
    <w:rPr>
      <w:b/>
      <w:caps/>
      <w:color w:val="00558C"/>
      <w:sz w:val="22"/>
    </w:rPr>
  </w:style>
  <w:style w:type="paragraph" w:styleId="Subtitle">
    <w:name w:val="Subtitle"/>
    <w:basedOn w:val="Normal"/>
    <w:link w:val="SubtitleChar"/>
    <w:qFormat/>
    <w:pPr>
      <w:spacing w:after="60"/>
      <w:jc w:val="center"/>
      <w:outlineLvl w:val="1"/>
    </w:pPr>
    <w:rPr>
      <w:rFonts w:cs="Arial"/>
    </w:rPr>
  </w:style>
  <w:style w:type="paragraph" w:styleId="List">
    <w:name w:val="List"/>
    <w:basedOn w:val="Normal"/>
    <w:uiPriority w:val="99"/>
    <w:unhideWhenUsed/>
    <w:qFormat/>
    <w:pPr>
      <w:ind w:left="360" w:hanging="360"/>
      <w:contextualSpacing/>
    </w:pPr>
    <w:rPr>
      <w:sz w:val="22"/>
    </w:rPr>
  </w:style>
  <w:style w:type="paragraph" w:styleId="FootnoteText">
    <w:name w:val="footnote text"/>
    <w:basedOn w:val="Normal"/>
    <w:link w:val="FootnoteTextChar"/>
    <w:uiPriority w:val="99"/>
    <w:unhideWhenUsed/>
    <w:qFormat/>
    <w:pPr>
      <w:tabs>
        <w:tab w:val="left" w:pos="425"/>
      </w:tabs>
      <w:spacing w:line="240" w:lineRule="auto"/>
      <w:ind w:left="425" w:hanging="425"/>
    </w:pPr>
    <w:rPr>
      <w:szCs w:val="24"/>
      <w:vertAlign w:val="superscript"/>
    </w:rPr>
  </w:style>
  <w:style w:type="paragraph" w:styleId="TOC6">
    <w:name w:val="toc 6"/>
    <w:basedOn w:val="Normal"/>
    <w:next w:val="Normal"/>
    <w:qFormat/>
    <w:pPr>
      <w:spacing w:line="240" w:lineRule="auto"/>
      <w:ind w:left="960"/>
    </w:pPr>
    <w:rPr>
      <w:rFonts w:ascii="Arial" w:eastAsia="Times New Roman" w:hAnsi="Arial" w:cs="Times New Roman"/>
      <w:sz w:val="20"/>
      <w:szCs w:val="20"/>
    </w:rPr>
  </w:style>
  <w:style w:type="paragraph" w:styleId="BodyTextIndent3">
    <w:name w:val="Body Text Indent 3"/>
    <w:basedOn w:val="Normal"/>
    <w:link w:val="BodyTextIndent3Char"/>
    <w:semiHidden/>
    <w:unhideWhenUsed/>
    <w:qFormat/>
    <w:pPr>
      <w:spacing w:after="120"/>
      <w:ind w:left="360"/>
    </w:pPr>
    <w:rPr>
      <w:sz w:val="16"/>
      <w:szCs w:val="16"/>
    </w:rPr>
  </w:style>
  <w:style w:type="paragraph" w:styleId="TableofFigures">
    <w:name w:val="table of figures"/>
    <w:basedOn w:val="Normal"/>
    <w:next w:val="Normal"/>
    <w:uiPriority w:val="99"/>
    <w:qFormat/>
    <w:pPr>
      <w:tabs>
        <w:tab w:val="right" w:leader="dot" w:pos="9781"/>
      </w:tabs>
      <w:spacing w:after="60"/>
      <w:ind w:left="1276" w:right="425" w:hanging="1276"/>
    </w:pPr>
    <w:rPr>
      <w:i/>
      <w:color w:val="00558C"/>
      <w:sz w:val="22"/>
    </w:rPr>
  </w:style>
  <w:style w:type="paragraph" w:styleId="TOC2">
    <w:name w:val="toc 2"/>
    <w:basedOn w:val="Normal"/>
    <w:next w:val="Normal"/>
    <w:uiPriority w:val="39"/>
    <w:qFormat/>
    <w:pPr>
      <w:tabs>
        <w:tab w:val="right" w:leader="dot" w:pos="9781"/>
      </w:tabs>
      <w:spacing w:after="40" w:line="300" w:lineRule="atLeast"/>
      <w:ind w:left="709" w:right="425" w:hanging="709"/>
    </w:pPr>
    <w:rPr>
      <w:color w:val="4F81BD" w:themeColor="accent1"/>
      <w:sz w:val="22"/>
    </w:rPr>
  </w:style>
  <w:style w:type="paragraph" w:styleId="TOC9">
    <w:name w:val="toc 9"/>
    <w:basedOn w:val="Normal"/>
    <w:next w:val="Normal"/>
    <w:qFormat/>
    <w:pPr>
      <w:spacing w:line="240" w:lineRule="auto"/>
      <w:ind w:left="1680"/>
    </w:pPr>
    <w:rPr>
      <w:rFonts w:ascii="Arial" w:eastAsia="Times New Roman" w:hAnsi="Arial" w:cs="Times New Roman"/>
      <w:sz w:val="20"/>
      <w:szCs w:val="20"/>
    </w:rPr>
  </w:style>
  <w:style w:type="paragraph" w:styleId="HTMLPreformatted">
    <w:name w:val="HTML Preformatted"/>
    <w:basedOn w:val="Normal"/>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SimSun" w:eastAsia="SimSun" w:hAnsi="SimSun" w:cs="Times New Roman" w:hint="eastAsia"/>
      <w:sz w:val="24"/>
      <w:szCs w:val="24"/>
      <w:lang w:val="en-US" w:eastAsia="zh-CN"/>
    </w:rPr>
  </w:style>
  <w:style w:type="paragraph" w:styleId="NormalWeb">
    <w:name w:val="Normal (Web)"/>
    <w:basedOn w:val="Normal"/>
    <w:uiPriority w:val="99"/>
    <w:qFormat/>
    <w:pPr>
      <w:spacing w:line="240" w:lineRule="auto"/>
    </w:pPr>
    <w:rPr>
      <w:rFonts w:ascii="Arial" w:eastAsia="Times New Roman" w:hAnsi="Arial" w:cs="Times New Roman"/>
      <w:sz w:val="22"/>
      <w:szCs w:val="24"/>
    </w:rPr>
  </w:style>
  <w:style w:type="paragraph" w:styleId="Index1">
    <w:name w:val="index 1"/>
    <w:basedOn w:val="Normal"/>
    <w:next w:val="Normal"/>
    <w:semiHidden/>
    <w:unhideWhenUsed/>
    <w:qFormat/>
    <w:pPr>
      <w:spacing w:line="240" w:lineRule="auto"/>
      <w:ind w:left="180" w:hanging="180"/>
    </w:pPr>
  </w:style>
  <w:style w:type="paragraph" w:styleId="Title">
    <w:name w:val="Title"/>
    <w:basedOn w:val="Normal"/>
    <w:link w:val="TitleChar"/>
    <w:qFormat/>
    <w:pPr>
      <w:spacing w:before="180" w:after="240" w:line="240" w:lineRule="auto"/>
      <w:jc w:val="center"/>
      <w:outlineLvl w:val="0"/>
    </w:pPr>
    <w:rPr>
      <w:rFonts w:ascii="Arial Bold" w:eastAsia="Times New Roman" w:hAnsi="Arial Bold" w:cs="Arial"/>
      <w:b/>
      <w:bCs/>
      <w:caps/>
      <w:color w:val="00558C"/>
      <w:kern w:val="28"/>
      <w:sz w:val="28"/>
      <w:szCs w:val="32"/>
      <w:lang w:eastAsia="en-GB"/>
    </w:rPr>
  </w:style>
  <w:style w:type="paragraph" w:styleId="CommentSubject">
    <w:name w:val="annotation subject"/>
    <w:basedOn w:val="CommentText"/>
    <w:next w:val="CommentText"/>
    <w:link w:val="CommentSubjectChar"/>
    <w:unhideWhenUsed/>
    <w:qFormat/>
    <w:rPr>
      <w:b/>
      <w:bCs/>
    </w:rPr>
  </w:style>
  <w:style w:type="table" w:styleId="TableGrid">
    <w:name w:val="Table Grid"/>
    <w:basedOn w:val="TableNormal"/>
    <w:uiPriority w:val="59"/>
    <w:qFormat/>
    <w:rPr>
      <w:rFonts w:asciiTheme="minorHAnsi" w:eastAsiaTheme="minorHAnsi" w:hAnsiTheme="minorHAnsi" w:cstheme="minorBidi"/>
      <w:sz w:val="22"/>
      <w:szCs w:val="22"/>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styleId="MediumShading1">
    <w:name w:val="Medium Shading 1"/>
    <w:basedOn w:val="TableNormal"/>
    <w:uiPriority w:val="63"/>
    <w:qFormat/>
    <w:rPr>
      <w:rFonts w:asciiTheme="minorHAnsi" w:eastAsiaTheme="minorHAnsi" w:hAnsiTheme="minorHAnsi" w:cstheme="minorBidi"/>
      <w:sz w:val="22"/>
      <w:szCs w:val="22"/>
      <w:lang w:val="fr-FR"/>
    </w:rPr>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auto"/>
        </w:tcBorders>
        <w:shd w:val="clear" w:color="auto" w:fill="C0504D"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auto"/>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auto"/>
          <w:tl2br w:val="nil"/>
          <w:tr2bl w:val="nil"/>
        </w:tcBorders>
        <w:shd w:val="clear" w:color="auto" w:fill="F2DBDB" w:themeFill="accent2" w:themeFillTint="33"/>
      </w:tcPr>
    </w:tblStylePr>
  </w:style>
  <w:style w:type="character" w:styleId="Strong">
    <w:name w:val="Strong"/>
    <w:basedOn w:val="DefaultParagraphFont"/>
    <w:uiPriority w:val="22"/>
    <w:qFormat/>
    <w:rPr>
      <w:b/>
    </w:rPr>
  </w:style>
  <w:style w:type="character" w:styleId="PageNumber">
    <w:name w:val="page number"/>
    <w:qFormat/>
    <w:rPr>
      <w:rFonts w:asciiTheme="minorHAnsi" w:hAnsiTheme="minorHAnsi"/>
      <w:sz w:val="15"/>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basedOn w:val="DefaultParagraphFont"/>
    <w:uiPriority w:val="99"/>
    <w:unhideWhenUsed/>
    <w:qFormat/>
    <w:rPr>
      <w:color w:val="4F81BD" w:themeColor="accent1"/>
      <w:u w:val="single"/>
    </w:rPr>
  </w:style>
  <w:style w:type="character" w:styleId="CommentReference">
    <w:name w:val="annotation reference"/>
    <w:basedOn w:val="DefaultParagraphFont"/>
    <w:unhideWhenUsed/>
    <w:qFormat/>
    <w:rPr>
      <w:sz w:val="18"/>
      <w:szCs w:val="18"/>
      <w:lang w:val="en-GB"/>
    </w:rPr>
  </w:style>
  <w:style w:type="character" w:styleId="HTMLCite">
    <w:name w:val="HTML Cite"/>
    <w:qFormat/>
    <w:rPr>
      <w:i/>
      <w:iCs/>
    </w:rPr>
  </w:style>
  <w:style w:type="character" w:styleId="FootnoteReference">
    <w:name w:val="footnote reference"/>
    <w:uiPriority w:val="99"/>
    <w:qFormat/>
    <w:rPr>
      <w:rFonts w:asciiTheme="minorHAnsi" w:hAnsiTheme="minorHAnsi"/>
      <w:sz w:val="20"/>
      <w:vertAlign w:val="superscript"/>
    </w:rPr>
  </w:style>
  <w:style w:type="character" w:customStyle="1" w:styleId="Heading5Char">
    <w:name w:val="Heading 5 Char"/>
    <w:basedOn w:val="DefaultParagraphFont"/>
    <w:link w:val="Heading5"/>
    <w:qFormat/>
    <w:rPr>
      <w:rFonts w:asciiTheme="majorHAnsi" w:eastAsiaTheme="majorEastAsia" w:hAnsiTheme="majorHAnsi" w:cstheme="majorBidi"/>
      <w:iCs/>
      <w:color w:val="00558C"/>
      <w:sz w:val="22"/>
      <w:szCs w:val="24"/>
      <w:lang w:eastAsia="en-US"/>
    </w:rPr>
  </w:style>
  <w:style w:type="character" w:customStyle="1" w:styleId="Heading1Char">
    <w:name w:val="Heading 1 Char"/>
    <w:basedOn w:val="DefaultParagraphFont"/>
    <w:link w:val="Heading1"/>
    <w:uiPriority w:val="1"/>
    <w:qFormat/>
    <w:rPr>
      <w:rFonts w:ascii="Calibri" w:eastAsiaTheme="majorEastAsia" w:hAnsi="Calibri" w:cstheme="majorBidi"/>
      <w:b/>
      <w:bCs/>
      <w:caps/>
      <w:color w:val="00558C"/>
      <w:sz w:val="28"/>
      <w:szCs w:val="24"/>
      <w:lang w:val="en-GB"/>
    </w:rPr>
  </w:style>
  <w:style w:type="character" w:customStyle="1" w:styleId="Heading2Char">
    <w:name w:val="Heading 2 Char"/>
    <w:basedOn w:val="DefaultParagraphFont"/>
    <w:link w:val="Heading2"/>
    <w:qFormat/>
    <w:rPr>
      <w:rFonts w:asciiTheme="majorHAnsi" w:eastAsiaTheme="majorEastAsia" w:hAnsiTheme="majorHAnsi" w:cstheme="majorBidi"/>
      <w:b/>
      <w:caps/>
      <w:color w:val="00558C"/>
      <w:sz w:val="24"/>
      <w:szCs w:val="24"/>
      <w:lang w:eastAsia="en-US"/>
    </w:rPr>
  </w:style>
  <w:style w:type="paragraph" w:customStyle="1" w:styleId="Annex">
    <w:name w:val="Annex"/>
    <w:next w:val="Normal"/>
    <w:link w:val="AnnexChar"/>
    <w:qFormat/>
    <w:pPr>
      <w:numPr>
        <w:numId w:val="3"/>
      </w:numPr>
      <w:spacing w:after="360" w:line="276" w:lineRule="auto"/>
    </w:pPr>
    <w:rPr>
      <w:rFonts w:asciiTheme="minorHAnsi" w:eastAsiaTheme="minorHAnsi" w:hAnsiTheme="minorHAnsi" w:cstheme="minorBidi"/>
      <w:b/>
      <w:caps/>
      <w:color w:val="00558C"/>
      <w:sz w:val="28"/>
      <w:szCs w:val="22"/>
      <w:lang w:val="en-GB"/>
    </w:rPr>
  </w:style>
  <w:style w:type="paragraph" w:customStyle="1" w:styleId="AnnexFigure">
    <w:name w:val="Annex Figure"/>
    <w:basedOn w:val="Normal"/>
    <w:next w:val="Normal"/>
    <w:qFormat/>
    <w:pPr>
      <w:numPr>
        <w:numId w:val="4"/>
      </w:numPr>
      <w:spacing w:before="120" w:after="120"/>
      <w:jc w:val="center"/>
    </w:pPr>
    <w:rPr>
      <w:i/>
    </w:rPr>
  </w:style>
  <w:style w:type="paragraph" w:customStyle="1" w:styleId="AnnexHeading1">
    <w:name w:val="Annex Heading 1"/>
    <w:basedOn w:val="Normal"/>
    <w:next w:val="BodyText"/>
    <w:qFormat/>
    <w:pPr>
      <w:numPr>
        <w:numId w:val="5"/>
      </w:numPr>
      <w:spacing w:before="120" w:after="120"/>
    </w:pPr>
    <w:rPr>
      <w:rFonts w:cs="Arial"/>
      <w:b/>
      <w:caps/>
      <w:sz w:val="24"/>
    </w:rPr>
  </w:style>
  <w:style w:type="paragraph" w:customStyle="1" w:styleId="AnnexHeading2">
    <w:name w:val="Annex Heading 2"/>
    <w:basedOn w:val="Normal"/>
    <w:next w:val="BodyText"/>
    <w:qFormat/>
    <w:pPr>
      <w:numPr>
        <w:ilvl w:val="1"/>
        <w:numId w:val="5"/>
      </w:numPr>
      <w:spacing w:before="120" w:after="120"/>
    </w:pPr>
    <w:rPr>
      <w:rFonts w:cs="Arial"/>
      <w:b/>
    </w:rPr>
  </w:style>
  <w:style w:type="paragraph" w:customStyle="1" w:styleId="AnnexHeading3">
    <w:name w:val="Annex Heading 3"/>
    <w:basedOn w:val="Normal"/>
    <w:next w:val="Normal"/>
    <w:qFormat/>
    <w:pPr>
      <w:numPr>
        <w:ilvl w:val="2"/>
        <w:numId w:val="5"/>
      </w:numPr>
      <w:spacing w:before="120" w:after="120"/>
    </w:pPr>
    <w:rPr>
      <w:rFonts w:cs="Arial"/>
    </w:rPr>
  </w:style>
  <w:style w:type="paragraph" w:customStyle="1" w:styleId="AnnexHeading4">
    <w:name w:val="Annex Heading 4"/>
    <w:basedOn w:val="Normal"/>
    <w:next w:val="BodyText"/>
    <w:qFormat/>
    <w:pPr>
      <w:numPr>
        <w:ilvl w:val="3"/>
        <w:numId w:val="5"/>
      </w:numPr>
      <w:spacing w:before="120" w:after="120"/>
    </w:pPr>
    <w:rPr>
      <w:rFonts w:cs="Arial"/>
    </w:rPr>
  </w:style>
  <w:style w:type="paragraph" w:customStyle="1" w:styleId="AnnexTable">
    <w:name w:val="Annex Table"/>
    <w:basedOn w:val="Normal"/>
    <w:next w:val="Normal"/>
    <w:qFormat/>
    <w:pPr>
      <w:numPr>
        <w:numId w:val="6"/>
      </w:numPr>
      <w:tabs>
        <w:tab w:val="left" w:pos="1418"/>
      </w:tabs>
      <w:spacing w:before="120" w:after="120"/>
      <w:jc w:val="center"/>
    </w:pPr>
    <w:rPr>
      <w:i/>
    </w:rPr>
  </w:style>
  <w:style w:type="character" w:customStyle="1" w:styleId="BodyTextChar">
    <w:name w:val="Body Text Char"/>
    <w:basedOn w:val="DefaultParagraphFont"/>
    <w:link w:val="BodyText"/>
    <w:qFormat/>
    <w:rPr>
      <w:rFonts w:asciiTheme="minorHAnsi" w:eastAsiaTheme="minorHAnsi" w:hAnsiTheme="minorHAnsi" w:cstheme="minorBidi"/>
      <w:sz w:val="22"/>
      <w:szCs w:val="22"/>
      <w:lang w:eastAsia="en-US"/>
    </w:rPr>
  </w:style>
  <w:style w:type="paragraph" w:customStyle="1" w:styleId="Bullet1">
    <w:name w:val="Bullet 1"/>
    <w:basedOn w:val="Normal"/>
    <w:qFormat/>
    <w:pPr>
      <w:numPr>
        <w:numId w:val="7"/>
      </w:numPr>
      <w:spacing w:after="120"/>
    </w:pPr>
    <w:rPr>
      <w:color w:val="000000" w:themeColor="text1"/>
      <w:sz w:val="22"/>
    </w:rPr>
  </w:style>
  <w:style w:type="paragraph" w:customStyle="1" w:styleId="Bullet1text">
    <w:name w:val="Bullet 1 text"/>
    <w:basedOn w:val="Normal"/>
    <w:qFormat/>
    <w:pPr>
      <w:suppressAutoHyphens/>
      <w:spacing w:after="120" w:line="240" w:lineRule="auto"/>
      <w:ind w:left="992"/>
      <w:jc w:val="both"/>
    </w:pPr>
    <w:rPr>
      <w:rFonts w:eastAsia="Times New Roman" w:cs="Times New Roman"/>
      <w:sz w:val="22"/>
      <w:szCs w:val="20"/>
      <w:lang w:eastAsia="en-GB"/>
    </w:rPr>
  </w:style>
  <w:style w:type="paragraph" w:customStyle="1" w:styleId="Bullet2">
    <w:name w:val="Bullet 2"/>
    <w:basedOn w:val="Normal"/>
    <w:link w:val="Bullet2Char"/>
    <w:qFormat/>
    <w:pPr>
      <w:numPr>
        <w:numId w:val="8"/>
      </w:numPr>
      <w:spacing w:after="120"/>
      <w:ind w:left="1276" w:hanging="425"/>
    </w:pPr>
    <w:rPr>
      <w:color w:val="000000" w:themeColor="text1"/>
      <w:sz w:val="22"/>
    </w:rPr>
  </w:style>
  <w:style w:type="paragraph" w:customStyle="1" w:styleId="Bullet2text">
    <w:name w:val="Bullet 2 text"/>
    <w:basedOn w:val="Normal"/>
    <w:qFormat/>
    <w:pPr>
      <w:suppressAutoHyphens/>
      <w:spacing w:after="120" w:line="240" w:lineRule="auto"/>
      <w:ind w:left="1701" w:hanging="425"/>
      <w:jc w:val="both"/>
    </w:pPr>
    <w:rPr>
      <w:rFonts w:eastAsia="Times New Roman" w:cs="Times New Roman"/>
      <w:sz w:val="22"/>
      <w:szCs w:val="20"/>
      <w:lang w:eastAsia="en-GB"/>
    </w:rPr>
  </w:style>
  <w:style w:type="paragraph" w:customStyle="1" w:styleId="Bullet3">
    <w:name w:val="Bullet 3"/>
    <w:basedOn w:val="Normal"/>
    <w:qFormat/>
    <w:pPr>
      <w:numPr>
        <w:numId w:val="9"/>
      </w:numPr>
      <w:spacing w:after="120" w:line="240" w:lineRule="auto"/>
      <w:ind w:left="1701" w:hanging="425"/>
    </w:pPr>
    <w:rPr>
      <w:rFonts w:eastAsia="Times New Roman" w:cs="Times New Roman"/>
      <w:sz w:val="20"/>
      <w:szCs w:val="20"/>
      <w:lang w:eastAsia="en-GB"/>
    </w:rPr>
  </w:style>
  <w:style w:type="paragraph" w:customStyle="1" w:styleId="Bullet3text">
    <w:name w:val="Bullet 3 text"/>
    <w:basedOn w:val="Normal"/>
    <w:qFormat/>
    <w:pPr>
      <w:suppressAutoHyphens/>
      <w:spacing w:after="120" w:line="240" w:lineRule="auto"/>
      <w:ind w:left="1701"/>
    </w:pPr>
    <w:rPr>
      <w:rFonts w:eastAsia="Times New Roman" w:cs="Times New Roman"/>
      <w:sz w:val="20"/>
      <w:szCs w:val="20"/>
      <w:lang w:eastAsia="en-GB"/>
    </w:rPr>
  </w:style>
  <w:style w:type="paragraph" w:customStyle="1" w:styleId="Figure">
    <w:name w:val="Figure_#"/>
    <w:basedOn w:val="Normal"/>
    <w:next w:val="Normal"/>
    <w:qFormat/>
    <w:pPr>
      <w:numPr>
        <w:numId w:val="10"/>
      </w:numPr>
      <w:spacing w:before="120" w:after="120"/>
      <w:jc w:val="center"/>
    </w:pPr>
    <w:rPr>
      <w:i/>
      <w:szCs w:val="20"/>
    </w:rPr>
  </w:style>
  <w:style w:type="character" w:customStyle="1" w:styleId="FooterChar">
    <w:name w:val="Footer Char"/>
    <w:basedOn w:val="DefaultParagraphFont"/>
    <w:link w:val="Footer"/>
    <w:qFormat/>
    <w:rPr>
      <w:rFonts w:asciiTheme="minorHAnsi" w:eastAsiaTheme="minorHAnsi" w:hAnsiTheme="minorHAnsi" w:cstheme="minorBidi"/>
      <w:szCs w:val="22"/>
      <w:lang w:eastAsia="en-US"/>
    </w:rPr>
  </w:style>
  <w:style w:type="character" w:customStyle="1" w:styleId="HeaderChar">
    <w:name w:val="Header Char"/>
    <w:basedOn w:val="DefaultParagraphFont"/>
    <w:link w:val="Header"/>
    <w:qFormat/>
    <w:rPr>
      <w:rFonts w:asciiTheme="minorHAnsi" w:eastAsiaTheme="minorHAnsi" w:hAnsiTheme="minorHAnsi" w:cstheme="minorBidi"/>
      <w:szCs w:val="22"/>
      <w:lang w:eastAsia="en-US"/>
    </w:rPr>
  </w:style>
  <w:style w:type="character" w:customStyle="1" w:styleId="Heading3Char">
    <w:name w:val="Heading 3 Char"/>
    <w:basedOn w:val="DefaultParagraphFont"/>
    <w:link w:val="Heading3"/>
    <w:qFormat/>
    <w:rPr>
      <w:rFonts w:asciiTheme="majorHAnsi" w:eastAsiaTheme="majorEastAsia" w:hAnsiTheme="majorHAnsi" w:cstheme="majorBidi"/>
      <w:b/>
      <w:bCs/>
      <w:smallCaps/>
      <w:color w:val="00558C"/>
      <w:sz w:val="24"/>
      <w:szCs w:val="24"/>
      <w:lang w:eastAsia="en-US"/>
    </w:rPr>
  </w:style>
  <w:style w:type="character" w:customStyle="1" w:styleId="Heading4Char">
    <w:name w:val="Heading 4 Char"/>
    <w:basedOn w:val="DefaultParagraphFont"/>
    <w:link w:val="Heading4"/>
    <w:qFormat/>
    <w:rPr>
      <w:rFonts w:asciiTheme="majorHAnsi" w:eastAsiaTheme="majorEastAsia" w:hAnsiTheme="majorHAnsi" w:cstheme="majorBidi"/>
      <w:b/>
      <w:iCs/>
      <w:color w:val="00558C"/>
      <w:sz w:val="22"/>
      <w:szCs w:val="24"/>
      <w:lang w:eastAsia="en-US"/>
    </w:rPr>
  </w:style>
  <w:style w:type="character" w:customStyle="1" w:styleId="Heading6Char">
    <w:name w:val="Heading 6 Char"/>
    <w:basedOn w:val="DefaultParagraphFont"/>
    <w:link w:val="Heading6"/>
    <w:qFormat/>
    <w:rPr>
      <w:rFonts w:asciiTheme="majorHAnsi" w:eastAsiaTheme="majorEastAsia" w:hAnsiTheme="majorHAnsi" w:cstheme="majorBidi"/>
      <w:i/>
      <w:iCs/>
      <w:color w:val="244061" w:themeColor="accent1" w:themeShade="80"/>
      <w:sz w:val="18"/>
      <w:szCs w:val="22"/>
      <w:lang w:eastAsia="en-US"/>
    </w:rPr>
  </w:style>
  <w:style w:type="character" w:customStyle="1" w:styleId="Heading7Char">
    <w:name w:val="Heading 7 Char"/>
    <w:basedOn w:val="DefaultParagraphFont"/>
    <w:link w:val="Heading7"/>
    <w:qFormat/>
    <w:rPr>
      <w:rFonts w:asciiTheme="majorHAnsi" w:eastAsiaTheme="majorEastAsia" w:hAnsiTheme="majorHAnsi" w:cstheme="majorBidi"/>
      <w:i/>
      <w:iCs/>
      <w:color w:val="404040" w:themeColor="text1" w:themeTint="BF"/>
      <w:sz w:val="18"/>
      <w:szCs w:val="22"/>
      <w:lang w:val="en-GB"/>
    </w:rPr>
  </w:style>
  <w:style w:type="character" w:customStyle="1" w:styleId="Heading8Char">
    <w:name w:val="Heading 8 Char"/>
    <w:basedOn w:val="DefaultParagraphFont"/>
    <w:link w:val="Heading8"/>
    <w:qFormat/>
    <w:rPr>
      <w:rFonts w:asciiTheme="majorHAnsi" w:eastAsiaTheme="majorEastAsia" w:hAnsiTheme="majorHAnsi" w:cstheme="majorBidi"/>
      <w:color w:val="404040" w:themeColor="text1" w:themeTint="BF"/>
      <w:lang w:val="en-GB"/>
    </w:rPr>
  </w:style>
  <w:style w:type="character" w:customStyle="1" w:styleId="Heading9Char">
    <w:name w:val="Heading 9 Char"/>
    <w:basedOn w:val="DefaultParagraphFont"/>
    <w:link w:val="Heading9"/>
    <w:qFormat/>
    <w:rPr>
      <w:rFonts w:asciiTheme="majorHAnsi" w:eastAsiaTheme="majorEastAsia" w:hAnsiTheme="majorHAnsi" w:cstheme="majorBidi"/>
      <w:i/>
      <w:iCs/>
      <w:color w:val="404040" w:themeColor="text1" w:themeTint="BF"/>
      <w:lang w:val="en-GB"/>
    </w:rPr>
  </w:style>
  <w:style w:type="paragraph" w:customStyle="1" w:styleId="List1">
    <w:name w:val="List 1"/>
    <w:basedOn w:val="Normal"/>
    <w:qFormat/>
    <w:pPr>
      <w:numPr>
        <w:numId w:val="11"/>
      </w:numPr>
      <w:spacing w:after="120" w:line="240" w:lineRule="auto"/>
      <w:jc w:val="both"/>
    </w:pPr>
    <w:rPr>
      <w:rFonts w:eastAsia="Times New Roman" w:cs="Times New Roman"/>
      <w:sz w:val="22"/>
      <w:szCs w:val="20"/>
      <w:lang w:eastAsia="en-GB"/>
    </w:rPr>
  </w:style>
  <w:style w:type="paragraph" w:customStyle="1" w:styleId="List1indent2">
    <w:name w:val="List 1 indent 2"/>
    <w:basedOn w:val="Normal"/>
    <w:qFormat/>
    <w:pPr>
      <w:widowControl w:val="0"/>
      <w:numPr>
        <w:ilvl w:val="2"/>
        <w:numId w:val="11"/>
      </w:numPr>
      <w:autoSpaceDE w:val="0"/>
      <w:autoSpaceDN w:val="0"/>
      <w:adjustRightInd w:val="0"/>
      <w:spacing w:after="120"/>
      <w:jc w:val="both"/>
    </w:pPr>
    <w:rPr>
      <w:rFonts w:cs="Arial"/>
      <w:sz w:val="20"/>
      <w:szCs w:val="20"/>
    </w:rPr>
  </w:style>
  <w:style w:type="paragraph" w:customStyle="1" w:styleId="List1indent2text">
    <w:name w:val="List 1 indent 2 text"/>
    <w:basedOn w:val="Normal"/>
    <w:qFormat/>
    <w:pPr>
      <w:spacing w:after="60"/>
      <w:ind w:left="1701"/>
      <w:jc w:val="both"/>
    </w:pPr>
    <w:rPr>
      <w:rFonts w:cs="Arial"/>
      <w:sz w:val="20"/>
    </w:rPr>
  </w:style>
  <w:style w:type="paragraph" w:customStyle="1" w:styleId="List1indenttext">
    <w:name w:val="List 1 indent text"/>
    <w:basedOn w:val="Normal"/>
    <w:qFormat/>
    <w:pPr>
      <w:spacing w:after="120"/>
      <w:ind w:left="1134"/>
      <w:jc w:val="both"/>
    </w:pPr>
    <w:rPr>
      <w:szCs w:val="20"/>
    </w:rPr>
  </w:style>
  <w:style w:type="paragraph" w:customStyle="1" w:styleId="List1text">
    <w:name w:val="List 1 text"/>
    <w:basedOn w:val="Normal"/>
    <w:qFormat/>
    <w:pPr>
      <w:spacing w:after="120" w:line="240" w:lineRule="auto"/>
      <w:ind w:left="567"/>
      <w:jc w:val="both"/>
    </w:pPr>
    <w:rPr>
      <w:rFonts w:eastAsia="Times New Roman" w:cs="Times New Roman"/>
      <w:sz w:val="22"/>
      <w:szCs w:val="20"/>
      <w:lang w:eastAsia="en-GB"/>
    </w:rPr>
  </w:style>
  <w:style w:type="paragraph" w:customStyle="1" w:styleId="Table">
    <w:name w:val="Table_#"/>
    <w:basedOn w:val="Normal"/>
    <w:next w:val="Normal"/>
    <w:qFormat/>
    <w:pPr>
      <w:numPr>
        <w:numId w:val="12"/>
      </w:numPr>
      <w:spacing w:before="120" w:after="120"/>
      <w:jc w:val="center"/>
    </w:pPr>
    <w:rPr>
      <w:i/>
      <w:szCs w:val="20"/>
    </w:rPr>
  </w:style>
  <w:style w:type="character" w:customStyle="1" w:styleId="BodyTextIndentChar">
    <w:name w:val="Body Text Indent Char"/>
    <w:link w:val="BodyTextIndent"/>
    <w:qFormat/>
    <w:rPr>
      <w:rFonts w:ascii="Arial" w:hAnsi="Arial" w:cs="Times New Roman"/>
      <w:szCs w:val="24"/>
    </w:rPr>
  </w:style>
  <w:style w:type="character" w:customStyle="1" w:styleId="BodyTextIndent2Char">
    <w:name w:val="Body Text Indent 2 Char"/>
    <w:link w:val="BodyTextIndent2"/>
    <w:qFormat/>
    <w:rPr>
      <w:rFonts w:ascii="Arial" w:hAnsi="Arial" w:cs="Times New Roman"/>
      <w:szCs w:val="24"/>
      <w:lang w:eastAsia="de-DE"/>
    </w:rPr>
  </w:style>
  <w:style w:type="character" w:customStyle="1" w:styleId="FootnoteTextChar">
    <w:name w:val="Footnote Text Char"/>
    <w:basedOn w:val="DefaultParagraphFont"/>
    <w:link w:val="FootnoteText"/>
    <w:uiPriority w:val="99"/>
    <w:qFormat/>
    <w:rPr>
      <w:rFonts w:asciiTheme="minorHAnsi" w:eastAsiaTheme="minorHAnsi" w:hAnsiTheme="minorHAnsi" w:cstheme="minorBidi"/>
      <w:sz w:val="18"/>
      <w:szCs w:val="24"/>
      <w:vertAlign w:val="superscript"/>
      <w:lang w:eastAsia="en-US"/>
    </w:rPr>
  </w:style>
  <w:style w:type="character" w:customStyle="1" w:styleId="SubtitleChar">
    <w:name w:val="Subtitle Char"/>
    <w:link w:val="Subtitle"/>
    <w:qFormat/>
    <w:rPr>
      <w:rFonts w:ascii="Arial" w:hAnsi="Arial" w:cs="Arial"/>
      <w:szCs w:val="24"/>
    </w:rPr>
  </w:style>
  <w:style w:type="character" w:customStyle="1" w:styleId="TitleChar">
    <w:name w:val="Title Char"/>
    <w:basedOn w:val="DefaultParagraphFont"/>
    <w:link w:val="Title"/>
    <w:qFormat/>
    <w:rPr>
      <w:rFonts w:ascii="Arial Bold" w:eastAsia="Times New Roman" w:hAnsi="Arial Bold" w:cs="Arial"/>
      <w:b/>
      <w:bCs/>
      <w:caps/>
      <w:color w:val="00558C"/>
      <w:kern w:val="28"/>
      <w:sz w:val="28"/>
      <w:szCs w:val="32"/>
    </w:rPr>
  </w:style>
  <w:style w:type="paragraph" w:customStyle="1" w:styleId="List1indent1">
    <w:name w:val="List 1 indent 1"/>
    <w:basedOn w:val="Normal"/>
    <w:qFormat/>
    <w:pPr>
      <w:numPr>
        <w:ilvl w:val="1"/>
        <w:numId w:val="11"/>
      </w:numPr>
      <w:spacing w:after="120"/>
      <w:jc w:val="both"/>
    </w:pPr>
    <w:rPr>
      <w:rFonts w:cs="Arial"/>
    </w:rPr>
  </w:style>
  <w:style w:type="paragraph" w:customStyle="1" w:styleId="List1indent1text">
    <w:name w:val="List 1 indent 1 text"/>
    <w:basedOn w:val="Normal"/>
    <w:qFormat/>
    <w:pPr>
      <w:spacing w:after="120"/>
      <w:ind w:left="1134"/>
      <w:jc w:val="both"/>
    </w:pPr>
    <w:rPr>
      <w:rFonts w:cs="Arial"/>
      <w:lang w:eastAsia="fr-FR"/>
    </w:rPr>
  </w:style>
  <w:style w:type="paragraph" w:customStyle="1" w:styleId="References">
    <w:name w:val="References"/>
    <w:basedOn w:val="Normal"/>
    <w:qFormat/>
    <w:pPr>
      <w:tabs>
        <w:tab w:val="left" w:pos="0"/>
      </w:tabs>
      <w:spacing w:after="120"/>
      <w:ind w:left="567" w:hanging="567"/>
    </w:pPr>
    <w:rPr>
      <w:szCs w:val="20"/>
    </w:rPr>
  </w:style>
  <w:style w:type="paragraph" w:customStyle="1" w:styleId="AppendixHeading1">
    <w:name w:val="Appendix Heading 1"/>
    <w:basedOn w:val="Normal"/>
    <w:next w:val="BodyText"/>
    <w:qFormat/>
    <w:pPr>
      <w:numPr>
        <w:numId w:val="13"/>
      </w:numPr>
      <w:spacing w:before="120" w:after="120"/>
    </w:pPr>
    <w:rPr>
      <w:rFonts w:cs="Arial"/>
      <w:b/>
      <w:caps/>
      <w:sz w:val="24"/>
    </w:rPr>
  </w:style>
  <w:style w:type="paragraph" w:customStyle="1" w:styleId="AppendixHeading2">
    <w:name w:val="Appendix Heading 2"/>
    <w:basedOn w:val="Normal"/>
    <w:next w:val="BodyText"/>
    <w:qFormat/>
    <w:pPr>
      <w:numPr>
        <w:ilvl w:val="1"/>
        <w:numId w:val="13"/>
      </w:numPr>
      <w:spacing w:before="120" w:after="120"/>
    </w:pPr>
    <w:rPr>
      <w:rFonts w:cs="Arial"/>
      <w:b/>
    </w:rPr>
  </w:style>
  <w:style w:type="paragraph" w:customStyle="1" w:styleId="AppendixHeading3">
    <w:name w:val="Appendix Heading 3"/>
    <w:basedOn w:val="Normal"/>
    <w:next w:val="Normal"/>
    <w:qFormat/>
    <w:pPr>
      <w:numPr>
        <w:ilvl w:val="2"/>
        <w:numId w:val="13"/>
      </w:numPr>
      <w:spacing w:before="120" w:after="120"/>
    </w:pPr>
    <w:rPr>
      <w:rFonts w:cs="Arial"/>
    </w:rPr>
  </w:style>
  <w:style w:type="paragraph" w:customStyle="1" w:styleId="AppendixHeading4">
    <w:name w:val="Appendix Heading 4"/>
    <w:basedOn w:val="Normal"/>
    <w:next w:val="BodyText"/>
    <w:qFormat/>
    <w:pPr>
      <w:numPr>
        <w:ilvl w:val="3"/>
        <w:numId w:val="13"/>
      </w:numPr>
      <w:spacing w:before="120" w:after="120"/>
    </w:pPr>
    <w:rPr>
      <w:rFonts w:cs="Arial"/>
    </w:rPr>
  </w:style>
  <w:style w:type="paragraph" w:customStyle="1" w:styleId="equation0">
    <w:name w:val="equation"/>
    <w:basedOn w:val="Normal"/>
    <w:next w:val="BodyText"/>
    <w:qFormat/>
    <w:pPr>
      <w:keepNext/>
      <w:tabs>
        <w:tab w:val="left" w:pos="142"/>
      </w:tabs>
      <w:spacing w:after="120"/>
      <w:ind w:left="1276" w:hanging="1276"/>
      <w:jc w:val="right"/>
    </w:pPr>
    <w:rPr>
      <w:rFonts w:eastAsia="Times New Roman" w:cs="Times New Roman"/>
      <w:szCs w:val="24"/>
    </w:rPr>
  </w:style>
  <w:style w:type="paragraph" w:customStyle="1" w:styleId="Appendix">
    <w:name w:val="Appendix"/>
    <w:next w:val="Normal"/>
    <w:qFormat/>
    <w:pPr>
      <w:numPr>
        <w:numId w:val="14"/>
      </w:numPr>
      <w:spacing w:before="120" w:after="240"/>
    </w:pPr>
    <w:rPr>
      <w:rFonts w:asciiTheme="majorHAnsi" w:eastAsia="Calibri" w:hAnsiTheme="majorHAnsi" w:cs="Calibri"/>
      <w:b/>
      <w:bCs/>
      <w:caps/>
      <w:color w:val="00558C"/>
      <w:sz w:val="28"/>
      <w:szCs w:val="28"/>
      <w:lang w:val="en-GB"/>
    </w:rPr>
  </w:style>
  <w:style w:type="character" w:customStyle="1" w:styleId="BalloonTextChar">
    <w:name w:val="Balloon Text Char"/>
    <w:basedOn w:val="DefaultParagraphFont"/>
    <w:link w:val="BalloonText"/>
    <w:qFormat/>
    <w:rPr>
      <w:rFonts w:ascii="Tahoma" w:eastAsiaTheme="minorHAnsi" w:hAnsi="Tahoma" w:cs="Tahoma"/>
      <w:sz w:val="16"/>
      <w:szCs w:val="16"/>
      <w:lang w:eastAsia="en-US"/>
    </w:rPr>
  </w:style>
  <w:style w:type="paragraph" w:styleId="ListParagraph">
    <w:name w:val="List Paragraph"/>
    <w:basedOn w:val="Normal"/>
    <w:uiPriority w:val="34"/>
    <w:qFormat/>
    <w:pPr>
      <w:ind w:left="720"/>
      <w:contextualSpacing/>
    </w:pPr>
  </w:style>
  <w:style w:type="character" w:customStyle="1" w:styleId="CommentTextChar">
    <w:name w:val="Comment Text Char"/>
    <w:basedOn w:val="DefaultParagraphFont"/>
    <w:link w:val="CommentText"/>
    <w:qFormat/>
    <w:rPr>
      <w:rFonts w:asciiTheme="minorHAnsi" w:eastAsiaTheme="minorHAnsi" w:hAnsiTheme="minorHAnsi" w:cstheme="minorBidi"/>
      <w:sz w:val="24"/>
      <w:szCs w:val="24"/>
      <w:lang w:eastAsia="en-US"/>
    </w:rPr>
  </w:style>
  <w:style w:type="character" w:customStyle="1" w:styleId="CommentSubjectChar">
    <w:name w:val="Comment Subject Char"/>
    <w:basedOn w:val="CommentTextChar"/>
    <w:link w:val="CommentSubject"/>
    <w:qFormat/>
    <w:rPr>
      <w:rFonts w:asciiTheme="minorHAnsi" w:eastAsiaTheme="minorHAnsi" w:hAnsiTheme="minorHAnsi" w:cstheme="minorBidi"/>
      <w:b/>
      <w:bCs/>
      <w:sz w:val="24"/>
      <w:szCs w:val="24"/>
      <w:lang w:eastAsia="en-US"/>
    </w:rPr>
  </w:style>
  <w:style w:type="paragraph" w:customStyle="1" w:styleId="Documenttype">
    <w:name w:val="Document type"/>
    <w:basedOn w:val="Normal"/>
    <w:qFormat/>
    <w:pPr>
      <w:spacing w:line="500" w:lineRule="exact"/>
      <w:ind w:left="907" w:right="907"/>
    </w:pPr>
    <w:rPr>
      <w:b/>
      <w:caps/>
      <w:color w:val="FFFFFF" w:themeColor="background1"/>
      <w:sz w:val="50"/>
      <w:szCs w:val="50"/>
    </w:rPr>
  </w:style>
  <w:style w:type="paragraph" w:customStyle="1" w:styleId="Heading1separationline">
    <w:name w:val="Heading 1 separation line"/>
    <w:basedOn w:val="Normal"/>
    <w:next w:val="BodyText"/>
    <w:qFormat/>
    <w:pPr>
      <w:pBdr>
        <w:bottom w:val="single" w:sz="8" w:space="1" w:color="4F81BD"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qFormat/>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qFormat/>
    <w:pPr>
      <w:spacing w:line="180" w:lineRule="exact"/>
      <w:jc w:val="right"/>
    </w:pPr>
    <w:rPr>
      <w:color w:val="4F81BD" w:themeColor="accent1"/>
    </w:rPr>
  </w:style>
  <w:style w:type="paragraph" w:customStyle="1" w:styleId="Editionnumber">
    <w:name w:val="Edition number"/>
    <w:basedOn w:val="Normal"/>
    <w:qFormat/>
    <w:rPr>
      <w:b/>
      <w:color w:val="4F81BD" w:themeColor="accent1"/>
      <w:sz w:val="50"/>
      <w:szCs w:val="50"/>
    </w:rPr>
  </w:style>
  <w:style w:type="paragraph" w:customStyle="1" w:styleId="Editionnumber-footer">
    <w:name w:val="Edition number - footer"/>
    <w:basedOn w:val="Footer"/>
    <w:next w:val="NoSpacing"/>
    <w:qFormat/>
    <w:pPr>
      <w:framePr w:hSpace="142" w:wrap="around" w:hAnchor="margin" w:xAlign="center" w:yAlign="bottom"/>
      <w:spacing w:before="40" w:line="180" w:lineRule="exact"/>
    </w:pPr>
    <w:rPr>
      <w:b/>
      <w:color w:val="4F81BD" w:themeColor="accent1"/>
      <w:sz w:val="15"/>
      <w:szCs w:val="15"/>
    </w:rPr>
  </w:style>
  <w:style w:type="paragraph" w:styleId="NoSpacing">
    <w:name w:val="No Spacing"/>
    <w:uiPriority w:val="1"/>
    <w:qFormat/>
    <w:rPr>
      <w:rFonts w:asciiTheme="minorHAnsi" w:eastAsiaTheme="minorHAnsi" w:hAnsiTheme="minorHAnsi" w:cstheme="minorBidi"/>
      <w:sz w:val="18"/>
      <w:szCs w:val="22"/>
      <w:lang w:val="en-GB"/>
    </w:rPr>
  </w:style>
  <w:style w:type="paragraph" w:customStyle="1" w:styleId="Contents">
    <w:name w:val="Contents"/>
    <w:basedOn w:val="Header"/>
    <w:qFormat/>
    <w:pPr>
      <w:pBdr>
        <w:bottom w:val="single" w:sz="8" w:space="12" w:color="4F81BD" w:themeColor="accent1"/>
      </w:pBdr>
      <w:spacing w:before="100" w:line="560" w:lineRule="exact"/>
    </w:pPr>
    <w:rPr>
      <w:b/>
      <w:caps/>
      <w:color w:val="C0504D" w:themeColor="accent2"/>
      <w:sz w:val="56"/>
      <w:szCs w:val="56"/>
    </w:rPr>
  </w:style>
  <w:style w:type="paragraph" w:customStyle="1" w:styleId="Tabletext">
    <w:name w:val="Table text"/>
    <w:basedOn w:val="Normal"/>
    <w:qFormat/>
    <w:pPr>
      <w:spacing w:before="60" w:after="60"/>
      <w:ind w:left="113" w:right="113"/>
    </w:pPr>
    <w:rPr>
      <w:color w:val="000000" w:themeColor="text1"/>
      <w:sz w:val="20"/>
    </w:rPr>
  </w:style>
  <w:style w:type="paragraph" w:customStyle="1" w:styleId="Doicumentrevisiontabletitle">
    <w:name w:val="Doicument revision table title"/>
    <w:basedOn w:val="Tabletext"/>
    <w:qFormat/>
    <w:rPr>
      <w:b/>
      <w:color w:val="00558C"/>
    </w:rPr>
  </w:style>
  <w:style w:type="paragraph" w:customStyle="1" w:styleId="Listatext">
    <w:name w:val="List a text"/>
    <w:basedOn w:val="Normal"/>
    <w:qFormat/>
    <w:pPr>
      <w:spacing w:after="120"/>
      <w:ind w:left="1134"/>
    </w:pPr>
    <w:rPr>
      <w:sz w:val="22"/>
    </w:rPr>
  </w:style>
  <w:style w:type="character" w:customStyle="1" w:styleId="Bullet2Char">
    <w:name w:val="Bullet 2 Char"/>
    <w:basedOn w:val="DefaultParagraphFont"/>
    <w:link w:val="Bullet2"/>
    <w:qFormat/>
    <w:rPr>
      <w:rFonts w:asciiTheme="minorHAnsi" w:eastAsiaTheme="minorHAnsi" w:hAnsiTheme="minorHAnsi" w:cstheme="minorBidi"/>
      <w:color w:val="000000" w:themeColor="text1"/>
      <w:sz w:val="22"/>
      <w:szCs w:val="22"/>
      <w:lang w:val="en-GB"/>
    </w:rPr>
  </w:style>
  <w:style w:type="paragraph" w:customStyle="1" w:styleId="AppendixHead2">
    <w:name w:val="Appendix Head 2"/>
    <w:basedOn w:val="Appendix"/>
    <w:next w:val="Heading2separationline"/>
    <w:qFormat/>
    <w:pPr>
      <w:numPr>
        <w:ilvl w:val="2"/>
      </w:numPr>
      <w:spacing w:after="120"/>
    </w:pPr>
    <w:rPr>
      <w:rFonts w:asciiTheme="minorHAnsi" w:hAnsiTheme="minorHAnsi" w:cs="Arial"/>
      <w:sz w:val="24"/>
      <w:lang w:eastAsia="en-GB"/>
    </w:rPr>
  </w:style>
  <w:style w:type="paragraph" w:customStyle="1" w:styleId="AppendixHead3">
    <w:name w:val="Appendix Head 3"/>
    <w:basedOn w:val="Normal"/>
    <w:next w:val="BodyText"/>
    <w:qFormat/>
    <w:pPr>
      <w:numPr>
        <w:ilvl w:val="3"/>
        <w:numId w:val="14"/>
      </w:numPr>
      <w:spacing w:before="120" w:after="120" w:line="240" w:lineRule="auto"/>
    </w:pPr>
    <w:rPr>
      <w:rFonts w:eastAsia="Calibri" w:cs="Arial"/>
      <w:b/>
      <w:smallCaps/>
      <w:color w:val="00558C"/>
      <w:sz w:val="24"/>
      <w:lang w:eastAsia="en-GB"/>
    </w:rPr>
  </w:style>
  <w:style w:type="paragraph" w:customStyle="1" w:styleId="AppendixHead4">
    <w:name w:val="Appendix Head 4"/>
    <w:basedOn w:val="AppendixHead3"/>
    <w:next w:val="BodyText"/>
    <w:qFormat/>
    <w:pPr>
      <w:numPr>
        <w:ilvl w:val="4"/>
      </w:numPr>
    </w:pPr>
    <w:rPr>
      <w:smallCaps w:val="0"/>
      <w:sz w:val="22"/>
    </w:rPr>
  </w:style>
  <w:style w:type="paragraph" w:customStyle="1" w:styleId="AppendixHead5">
    <w:name w:val="Appendix Head 5"/>
    <w:basedOn w:val="AppendixHead4"/>
    <w:next w:val="BodyText"/>
    <w:qFormat/>
    <w:pPr>
      <w:ind w:left="1701" w:hanging="1701"/>
    </w:pPr>
    <w:rPr>
      <w:b w:val="0"/>
    </w:rPr>
  </w:style>
  <w:style w:type="character" w:customStyle="1" w:styleId="AnnexChar">
    <w:name w:val="Annex Char"/>
    <w:basedOn w:val="DefaultParagraphFont"/>
    <w:link w:val="Annex"/>
    <w:qFormat/>
    <w:rPr>
      <w:rFonts w:asciiTheme="minorHAnsi" w:eastAsiaTheme="minorHAnsi" w:hAnsiTheme="minorHAnsi" w:cstheme="minorBidi"/>
      <w:b/>
      <w:caps/>
      <w:color w:val="00558C"/>
      <w:sz w:val="28"/>
      <w:szCs w:val="22"/>
      <w:lang w:val="en-GB"/>
    </w:rPr>
  </w:style>
  <w:style w:type="paragraph" w:customStyle="1" w:styleId="AnnexHead2">
    <w:name w:val="Annex Head 2"/>
    <w:basedOn w:val="Annex"/>
    <w:next w:val="Heading1separationline"/>
    <w:qFormat/>
    <w:pPr>
      <w:numPr>
        <w:ilvl w:val="1"/>
      </w:numPr>
      <w:spacing w:before="120" w:after="120" w:line="240" w:lineRule="auto"/>
    </w:pPr>
    <w:rPr>
      <w:rFonts w:eastAsia="Calibri" w:cs="Calibri"/>
      <w:bCs/>
      <w:sz w:val="24"/>
      <w:lang w:eastAsia="en-GB"/>
    </w:rPr>
  </w:style>
  <w:style w:type="paragraph" w:customStyle="1" w:styleId="AnnexHead3">
    <w:name w:val="Annex Head 3"/>
    <w:basedOn w:val="AnnexHead2"/>
    <w:next w:val="Heading2separationline"/>
    <w:qFormat/>
    <w:pPr>
      <w:numPr>
        <w:ilvl w:val="2"/>
      </w:numPr>
    </w:pPr>
    <w:rPr>
      <w:caps w:val="0"/>
      <w:smallCaps/>
    </w:rPr>
  </w:style>
  <w:style w:type="paragraph" w:customStyle="1" w:styleId="AnnexHead4">
    <w:name w:val="Annex Head 4"/>
    <w:basedOn w:val="AnnexHead3"/>
    <w:next w:val="BodyText"/>
    <w:qFormat/>
    <w:pPr>
      <w:numPr>
        <w:ilvl w:val="3"/>
      </w:numPr>
    </w:pPr>
    <w:rPr>
      <w:smallCaps w:val="0"/>
      <w:sz w:val="22"/>
    </w:rPr>
  </w:style>
  <w:style w:type="paragraph" w:customStyle="1" w:styleId="AnnexHead5">
    <w:name w:val="Annex Head 5"/>
    <w:basedOn w:val="Normal"/>
    <w:next w:val="BodyText"/>
    <w:qFormat/>
    <w:pPr>
      <w:numPr>
        <w:ilvl w:val="4"/>
        <w:numId w:val="3"/>
      </w:numPr>
      <w:spacing w:before="120" w:after="120" w:line="240" w:lineRule="auto"/>
      <w:ind w:left="1701" w:hanging="1701"/>
    </w:pPr>
    <w:rPr>
      <w:rFonts w:eastAsia="Calibri" w:cs="Calibri"/>
      <w:color w:val="00558C"/>
      <w:sz w:val="22"/>
      <w:lang w:eastAsia="en-GB"/>
    </w:rPr>
  </w:style>
  <w:style w:type="character" w:customStyle="1" w:styleId="BodyTextIndent3Char">
    <w:name w:val="Body Text Indent 3 Char"/>
    <w:basedOn w:val="DefaultParagraphFont"/>
    <w:link w:val="BodyTextIndent3"/>
    <w:semiHidden/>
    <w:qFormat/>
    <w:rPr>
      <w:rFonts w:asciiTheme="minorHAnsi" w:eastAsiaTheme="minorHAnsi" w:hAnsiTheme="minorHAnsi" w:cstheme="minorBidi"/>
      <w:sz w:val="16"/>
      <w:szCs w:val="16"/>
      <w:lang w:eastAsia="en-US"/>
    </w:rPr>
  </w:style>
  <w:style w:type="paragraph" w:customStyle="1" w:styleId="InsetList">
    <w:name w:val="Inset List"/>
    <w:basedOn w:val="Normal"/>
    <w:qFormat/>
    <w:pPr>
      <w:numPr>
        <w:numId w:val="15"/>
      </w:numPr>
      <w:spacing w:after="120"/>
      <w:jc w:val="both"/>
    </w:pPr>
    <w:rPr>
      <w:sz w:val="22"/>
    </w:rPr>
  </w:style>
  <w:style w:type="paragraph" w:customStyle="1" w:styleId="ListofFigures">
    <w:name w:val="List of Figures"/>
    <w:basedOn w:val="Normal"/>
    <w:next w:val="Normal"/>
    <w:qFormat/>
    <w:pPr>
      <w:spacing w:after="240" w:line="480" w:lineRule="atLeast"/>
    </w:pPr>
    <w:rPr>
      <w:b/>
      <w:color w:val="C0504D" w:themeColor="accent2"/>
      <w:sz w:val="40"/>
      <w:szCs w:val="40"/>
    </w:rPr>
  </w:style>
  <w:style w:type="paragraph" w:customStyle="1" w:styleId="Tablecaption">
    <w:name w:val="Table caption"/>
    <w:basedOn w:val="Caption"/>
    <w:next w:val="BodyText"/>
    <w:qFormat/>
    <w:pPr>
      <w:numPr>
        <w:numId w:val="16"/>
      </w:numPr>
      <w:tabs>
        <w:tab w:val="left" w:pos="851"/>
      </w:tabs>
      <w:spacing w:before="240" w:after="240"/>
      <w:jc w:val="center"/>
    </w:pPr>
    <w:rPr>
      <w:b w:val="0"/>
      <w:u w:val="none"/>
    </w:rPr>
  </w:style>
  <w:style w:type="paragraph" w:customStyle="1" w:styleId="Footereditionno">
    <w:name w:val="Footer edition no."/>
    <w:basedOn w:val="Normal"/>
    <w:qFormat/>
    <w:pPr>
      <w:tabs>
        <w:tab w:val="right" w:pos="10206"/>
      </w:tabs>
    </w:pPr>
    <w:rPr>
      <w:b/>
      <w:color w:val="00558C"/>
      <w:sz w:val="15"/>
    </w:rPr>
  </w:style>
  <w:style w:type="paragraph" w:customStyle="1" w:styleId="Lista">
    <w:name w:val="List a"/>
    <w:basedOn w:val="Normal"/>
    <w:qFormat/>
    <w:pPr>
      <w:numPr>
        <w:ilvl w:val="1"/>
        <w:numId w:val="17"/>
      </w:numPr>
      <w:spacing w:after="120" w:line="240" w:lineRule="auto"/>
      <w:jc w:val="both"/>
    </w:pPr>
    <w:rPr>
      <w:rFonts w:eastAsia="Times New Roman" w:cs="Times New Roman"/>
      <w:sz w:val="22"/>
      <w:szCs w:val="20"/>
      <w:lang w:eastAsia="en-GB"/>
    </w:rPr>
  </w:style>
  <w:style w:type="paragraph" w:customStyle="1" w:styleId="Listi">
    <w:name w:val="List i"/>
    <w:basedOn w:val="Listitext"/>
    <w:qFormat/>
    <w:pPr>
      <w:numPr>
        <w:ilvl w:val="2"/>
        <w:numId w:val="17"/>
      </w:numPr>
      <w:ind w:left="1701" w:hanging="425"/>
    </w:pPr>
  </w:style>
  <w:style w:type="paragraph" w:customStyle="1" w:styleId="Listitext">
    <w:name w:val="List i text"/>
    <w:basedOn w:val="Normal"/>
    <w:qFormat/>
    <w:pPr>
      <w:ind w:left="2268" w:hanging="567"/>
    </w:pPr>
    <w:rPr>
      <w:sz w:val="20"/>
    </w:rPr>
  </w:style>
  <w:style w:type="character" w:customStyle="1" w:styleId="DocumentMapChar">
    <w:name w:val="Document Map Char"/>
    <w:basedOn w:val="DefaultParagraphFont"/>
    <w:link w:val="DocumentMap"/>
    <w:qFormat/>
    <w:rPr>
      <w:rFonts w:ascii="Tahoma" w:eastAsia="Times New Roman" w:hAnsi="Tahoma"/>
      <w:szCs w:val="24"/>
      <w:shd w:val="clear" w:color="auto" w:fill="000080"/>
      <w:lang w:val="de-DE" w:eastAsia="de-DE"/>
    </w:rPr>
  </w:style>
  <w:style w:type="paragraph" w:customStyle="1" w:styleId="TableofTables">
    <w:name w:val="Table of Tables"/>
    <w:basedOn w:val="TableofFigures"/>
    <w:qFormat/>
    <w:pPr>
      <w:tabs>
        <w:tab w:val="left" w:pos="1134"/>
        <w:tab w:val="right" w:pos="9781"/>
      </w:tabs>
    </w:pPr>
  </w:style>
  <w:style w:type="paragraph" w:customStyle="1" w:styleId="Default">
    <w:name w:val="Default"/>
    <w:qFormat/>
    <w:pPr>
      <w:autoSpaceDE w:val="0"/>
      <w:autoSpaceDN w:val="0"/>
      <w:adjustRightInd w:val="0"/>
    </w:pPr>
    <w:rPr>
      <w:rFonts w:ascii="Arial" w:eastAsia="Times New Roman" w:hAnsi="Arial" w:cs="Arial"/>
      <w:color w:val="000000"/>
      <w:sz w:val="24"/>
      <w:szCs w:val="24"/>
      <w:lang w:val="en-GB" w:eastAsia="en-GB"/>
    </w:rPr>
  </w:style>
  <w:style w:type="table" w:customStyle="1" w:styleId="TableGrid1">
    <w:name w:val="Table Grid1"/>
    <w:basedOn w:val="TableNormal"/>
    <w:uiPriority w:val="59"/>
    <w:qFormat/>
    <w:rPr>
      <w:rFonts w:asciiTheme="minorHAnsi" w:eastAsiaTheme="minorHAnsi" w:hAnsiTheme="minorHAnsi" w:cstheme="minorBidi"/>
      <w:sz w:val="22"/>
      <w:szCs w:val="22"/>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10">
    <w:name w:val="TOC 标题1"/>
    <w:basedOn w:val="Heading1"/>
    <w:next w:val="Normal"/>
    <w:uiPriority w:val="39"/>
    <w:unhideWhenUsed/>
    <w:qFormat/>
    <w:pPr>
      <w:numPr>
        <w:numId w:val="0"/>
      </w:numPr>
      <w:spacing w:before="480" w:line="276" w:lineRule="auto"/>
      <w:outlineLvl w:val="9"/>
    </w:pPr>
    <w:rPr>
      <w:caps w:val="0"/>
      <w:color w:val="365F91" w:themeColor="accent1" w:themeShade="BF"/>
      <w:szCs w:val="28"/>
      <w:lang w:val="sv-SE"/>
    </w:rPr>
  </w:style>
  <w:style w:type="paragraph" w:customStyle="1" w:styleId="Tableinsetlist">
    <w:name w:val="Table inset list"/>
    <w:basedOn w:val="InsetList"/>
    <w:qFormat/>
    <w:pPr>
      <w:numPr>
        <w:numId w:val="18"/>
      </w:numPr>
      <w:spacing w:before="120"/>
      <w:contextualSpacing/>
    </w:pPr>
    <w:rPr>
      <w:sz w:val="20"/>
    </w:rPr>
  </w:style>
  <w:style w:type="paragraph" w:customStyle="1" w:styleId="Textedesaisie">
    <w:name w:val="Texte de saisie"/>
    <w:basedOn w:val="Normal"/>
    <w:link w:val="TextedesaisieCar"/>
    <w:qFormat/>
    <w:rPr>
      <w:color w:val="000000" w:themeColor="text1"/>
      <w:sz w:val="22"/>
    </w:rPr>
  </w:style>
  <w:style w:type="character" w:customStyle="1" w:styleId="TextedesaisieCar">
    <w:name w:val="Texte de saisie Car"/>
    <w:basedOn w:val="DefaultParagraphFont"/>
    <w:link w:val="Textedesaisie"/>
    <w:qFormat/>
    <w:rPr>
      <w:rFonts w:asciiTheme="minorHAnsi" w:eastAsiaTheme="minorHAnsi" w:hAnsiTheme="minorHAnsi" w:cstheme="minorBidi"/>
      <w:color w:val="000000" w:themeColor="text1"/>
      <w:sz w:val="22"/>
      <w:szCs w:val="22"/>
      <w:lang w:val="en-GB"/>
    </w:rPr>
  </w:style>
  <w:style w:type="paragraph" w:customStyle="1" w:styleId="AnnexTablecaption">
    <w:name w:val="Annex Table caption"/>
    <w:basedOn w:val="BodyText"/>
    <w:qFormat/>
    <w:pPr>
      <w:numPr>
        <w:numId w:val="19"/>
      </w:numPr>
      <w:jc w:val="center"/>
    </w:pPr>
    <w:rPr>
      <w:i/>
      <w:color w:val="00558C"/>
      <w:lang w:eastAsia="en-GB"/>
    </w:rPr>
  </w:style>
  <w:style w:type="paragraph" w:customStyle="1" w:styleId="Figurecaption">
    <w:name w:val="Figure caption"/>
    <w:basedOn w:val="Caption"/>
    <w:next w:val="BodyText"/>
    <w:qFormat/>
    <w:pPr>
      <w:numPr>
        <w:numId w:val="20"/>
      </w:numPr>
      <w:spacing w:before="240" w:after="240"/>
      <w:jc w:val="center"/>
    </w:pPr>
    <w:rPr>
      <w:b w:val="0"/>
      <w:u w:val="none"/>
    </w:rPr>
  </w:style>
  <w:style w:type="paragraph" w:customStyle="1" w:styleId="Abbreviations">
    <w:name w:val="Abbreviations"/>
    <w:basedOn w:val="Normal"/>
    <w:qFormat/>
    <w:pPr>
      <w:spacing w:after="60"/>
      <w:ind w:left="1418" w:hanging="1418"/>
    </w:pPr>
    <w:rPr>
      <w:sz w:val="22"/>
    </w:rPr>
  </w:style>
  <w:style w:type="paragraph" w:customStyle="1" w:styleId="Tableheading">
    <w:name w:val="Table heading"/>
    <w:basedOn w:val="Normal"/>
    <w:qFormat/>
    <w:pPr>
      <w:spacing w:before="60" w:after="60"/>
      <w:ind w:left="113" w:right="113"/>
      <w:jc w:val="center"/>
    </w:pPr>
    <w:rPr>
      <w:b/>
      <w:color w:val="00558C"/>
      <w:sz w:val="20"/>
      <w:lang w:val="en-US"/>
    </w:rPr>
  </w:style>
  <w:style w:type="paragraph" w:customStyle="1" w:styleId="Footerlandscape">
    <w:name w:val="Footer landscape"/>
    <w:basedOn w:val="Normal"/>
    <w:qFormat/>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qFormat/>
    <w:rPr>
      <w:caps/>
      <w:color w:val="00558C"/>
      <w:sz w:val="50"/>
    </w:rPr>
  </w:style>
  <w:style w:type="paragraph" w:customStyle="1" w:styleId="Documentdate">
    <w:name w:val="Document date"/>
    <w:basedOn w:val="Normal"/>
    <w:qFormat/>
    <w:rPr>
      <w:b/>
      <w:color w:val="00558C"/>
      <w:sz w:val="28"/>
    </w:rPr>
  </w:style>
  <w:style w:type="paragraph" w:customStyle="1" w:styleId="Footerportrait">
    <w:name w:val="Footer portrait"/>
    <w:basedOn w:val="Normal"/>
    <w:qFormat/>
    <w:pPr>
      <w:pBdr>
        <w:top w:val="single" w:sz="4" w:space="1" w:color="auto"/>
      </w:pBdr>
      <w:tabs>
        <w:tab w:val="right" w:pos="10206"/>
      </w:tabs>
    </w:pPr>
    <w:rPr>
      <w:b/>
      <w:color w:val="00558C"/>
      <w:sz w:val="15"/>
      <w:lang w:val="en-US"/>
    </w:rPr>
  </w:style>
  <w:style w:type="paragraph" w:customStyle="1" w:styleId="Documentname">
    <w:name w:val="Document name"/>
    <w:basedOn w:val="Documenttype"/>
    <w:qFormat/>
    <w:pPr>
      <w:ind w:left="0" w:right="0"/>
    </w:pPr>
    <w:rPr>
      <w:b w:val="0"/>
      <w:color w:val="00558C"/>
    </w:rPr>
  </w:style>
  <w:style w:type="character" w:styleId="PlaceholderText">
    <w:name w:val="Placeholder Text"/>
    <w:basedOn w:val="DefaultParagraphFont"/>
    <w:uiPriority w:val="99"/>
    <w:semiHidden/>
    <w:qFormat/>
    <w:rPr>
      <w:color w:val="808080"/>
    </w:rPr>
  </w:style>
  <w:style w:type="paragraph" w:customStyle="1" w:styleId="Style1">
    <w:name w:val="Style1"/>
    <w:basedOn w:val="Tableheading"/>
    <w:qFormat/>
  </w:style>
  <w:style w:type="paragraph" w:customStyle="1" w:styleId="Style2">
    <w:name w:val="Style2"/>
    <w:basedOn w:val="TOC3"/>
    <w:qFormat/>
    <w:pPr>
      <w:tabs>
        <w:tab w:val="left" w:pos="1985"/>
        <w:tab w:val="right" w:pos="10195"/>
      </w:tabs>
    </w:pPr>
    <w:rPr>
      <w:rFonts w:eastAsiaTheme="minorEastAsia"/>
      <w:sz w:val="24"/>
      <w:szCs w:val="24"/>
      <w:lang w:val="en-US"/>
    </w:rPr>
  </w:style>
  <w:style w:type="paragraph" w:customStyle="1" w:styleId="Headingseparationline-landscape">
    <w:name w:val="Heading separation line - landscape"/>
    <w:basedOn w:val="Heading1separationline"/>
    <w:qFormat/>
    <w:pPr>
      <w:ind w:right="14317"/>
    </w:pPr>
  </w:style>
  <w:style w:type="paragraph" w:customStyle="1" w:styleId="1">
    <w:name w:val="修订1"/>
    <w:hidden/>
    <w:uiPriority w:val="99"/>
    <w:semiHidden/>
    <w:qFormat/>
    <w:rPr>
      <w:rFonts w:asciiTheme="minorHAnsi" w:eastAsiaTheme="minorHAnsi" w:hAnsiTheme="minorHAnsi" w:cstheme="minorBidi"/>
      <w:sz w:val="18"/>
      <w:szCs w:val="22"/>
      <w:lang w:val="en-GB"/>
    </w:rPr>
  </w:style>
  <w:style w:type="paragraph" w:customStyle="1" w:styleId="Referencetext">
    <w:name w:val="Reference text"/>
    <w:basedOn w:val="Normal"/>
    <w:qFormat/>
    <w:pPr>
      <w:tabs>
        <w:tab w:val="left" w:pos="567"/>
      </w:tabs>
      <w:spacing w:after="120" w:line="240" w:lineRule="auto"/>
      <w:ind w:left="1134" w:hanging="567"/>
    </w:pPr>
    <w:rPr>
      <w:rFonts w:ascii="Calibri" w:eastAsia="Times New Roman" w:hAnsi="Calibri" w:cs="Arial"/>
      <w:sz w:val="22"/>
      <w:szCs w:val="20"/>
      <w:lang w:eastAsia="en-GB"/>
    </w:rPr>
  </w:style>
  <w:style w:type="paragraph" w:customStyle="1" w:styleId="preface6">
    <w:name w:val="preface 6"/>
    <w:basedOn w:val="Heading6"/>
    <w:qFormat/>
    <w:pPr>
      <w:keepNext w:val="0"/>
      <w:suppressLineNumbers/>
      <w:tabs>
        <w:tab w:val="left" w:pos="1151"/>
      </w:tabs>
      <w:spacing w:before="120" w:line="240" w:lineRule="auto"/>
      <w:ind w:left="1151" w:hanging="431"/>
      <w:jc w:val="both"/>
    </w:pPr>
    <w:rPr>
      <w:rFonts w:ascii="Times New Roman" w:eastAsia="Times New Roman" w:hAnsi="Times New Roman" w:cs="Times New Roman"/>
      <w:iCs w:val="0"/>
      <w:color w:val="auto"/>
      <w:sz w:val="24"/>
      <w:szCs w:val="20"/>
      <w:lang w:eastAsia="en-AU"/>
    </w:rPr>
  </w:style>
  <w:style w:type="paragraph" w:customStyle="1" w:styleId="MRN">
    <w:name w:val="MRN"/>
    <w:basedOn w:val="Normal"/>
    <w:link w:val="MRNChar"/>
    <w:qFormat/>
    <w:rPr>
      <w:b/>
      <w:color w:val="00558C"/>
      <w:sz w:val="28"/>
    </w:rPr>
  </w:style>
  <w:style w:type="character" w:customStyle="1" w:styleId="MRNChar">
    <w:name w:val="MRN Char"/>
    <w:basedOn w:val="DefaultParagraphFont"/>
    <w:link w:val="MRN"/>
    <w:qFormat/>
    <w:rPr>
      <w:rFonts w:asciiTheme="minorHAnsi" w:eastAsiaTheme="minorHAnsi" w:hAnsiTheme="minorHAnsi" w:cstheme="minorBidi"/>
      <w:b/>
      <w:color w:val="00558C"/>
      <w:sz w:val="28"/>
      <w:szCs w:val="22"/>
      <w:lang w:eastAsia="en-US"/>
    </w:rPr>
  </w:style>
  <w:style w:type="paragraph" w:customStyle="1" w:styleId="Revokes">
    <w:name w:val="Revokes"/>
    <w:basedOn w:val="Documentdate"/>
    <w:link w:val="RevokesChar"/>
    <w:qFormat/>
    <w:rPr>
      <w:i/>
    </w:rPr>
  </w:style>
  <w:style w:type="character" w:customStyle="1" w:styleId="RevokesChar">
    <w:name w:val="Revokes Char"/>
    <w:basedOn w:val="DefaultParagraphFont"/>
    <w:link w:val="Revokes"/>
    <w:qFormat/>
    <w:rPr>
      <w:rFonts w:asciiTheme="minorHAnsi" w:eastAsiaTheme="minorHAnsi" w:hAnsiTheme="minorHAnsi" w:cstheme="minorBidi"/>
      <w:b/>
      <w:i/>
      <w:color w:val="00558C"/>
      <w:sz w:val="28"/>
      <w:szCs w:val="22"/>
      <w:lang w:eastAsia="en-US"/>
    </w:rPr>
  </w:style>
  <w:style w:type="paragraph" w:customStyle="1" w:styleId="Reference">
    <w:name w:val="Reference"/>
    <w:basedOn w:val="Normal"/>
    <w:qFormat/>
    <w:pPr>
      <w:numPr>
        <w:numId w:val="21"/>
      </w:numPr>
      <w:spacing w:before="120" w:after="60" w:line="240" w:lineRule="auto"/>
      <w:jc w:val="both"/>
    </w:pPr>
    <w:rPr>
      <w:rFonts w:eastAsia="Times New Roman" w:cs="Times New Roman"/>
      <w:sz w:val="22"/>
      <w:szCs w:val="20"/>
    </w:rPr>
  </w:style>
  <w:style w:type="paragraph" w:customStyle="1" w:styleId="Equation">
    <w:name w:val="Equation"/>
    <w:basedOn w:val="BodyText"/>
    <w:next w:val="BodyText"/>
    <w:link w:val="EquationChar"/>
    <w:qFormat/>
    <w:pPr>
      <w:numPr>
        <w:numId w:val="22"/>
      </w:numPr>
      <w:spacing w:before="60"/>
      <w:jc w:val="right"/>
    </w:pPr>
  </w:style>
  <w:style w:type="character" w:customStyle="1" w:styleId="EquationChar">
    <w:name w:val="Equation Char"/>
    <w:basedOn w:val="BodyTextChar"/>
    <w:link w:val="Equation"/>
    <w:qFormat/>
    <w:rPr>
      <w:rFonts w:asciiTheme="minorHAnsi" w:eastAsiaTheme="minorHAnsi" w:hAnsiTheme="minorHAnsi" w:cstheme="minorBidi"/>
      <w:sz w:val="22"/>
      <w:szCs w:val="22"/>
      <w:lang w:val="en-GB" w:eastAsia="en-US"/>
    </w:rPr>
  </w:style>
  <w:style w:type="paragraph" w:customStyle="1" w:styleId="Furtherreading">
    <w:name w:val="Further reading"/>
    <w:basedOn w:val="BodyText"/>
    <w:link w:val="FurtherreadingChar"/>
    <w:qFormat/>
    <w:pPr>
      <w:numPr>
        <w:numId w:val="23"/>
      </w:numPr>
      <w:spacing w:before="60"/>
    </w:pPr>
  </w:style>
  <w:style w:type="character" w:customStyle="1" w:styleId="FurtherreadingChar">
    <w:name w:val="Further reading Char"/>
    <w:basedOn w:val="BodyTextChar"/>
    <w:link w:val="Furtherreading"/>
    <w:qFormat/>
    <w:rPr>
      <w:rFonts w:asciiTheme="minorHAnsi" w:eastAsiaTheme="minorHAnsi" w:hAnsiTheme="minorHAnsi" w:cstheme="minorBidi"/>
      <w:sz w:val="22"/>
      <w:szCs w:val="22"/>
      <w:lang w:val="en-GB" w:eastAsia="en-US"/>
    </w:rPr>
  </w:style>
  <w:style w:type="paragraph" w:customStyle="1" w:styleId="Documentrevisiontabletitle">
    <w:name w:val="Document revision table title"/>
    <w:basedOn w:val="Normal"/>
    <w:qFormat/>
    <w:pPr>
      <w:spacing w:before="60" w:after="60"/>
      <w:ind w:left="113" w:right="113"/>
    </w:pPr>
    <w:rPr>
      <w:b/>
      <w:color w:val="00558C"/>
      <w:sz w:val="20"/>
    </w:rPr>
  </w:style>
  <w:style w:type="paragraph" w:customStyle="1" w:styleId="AnnexFigureCaption">
    <w:name w:val="Annex Figure Caption"/>
    <w:basedOn w:val="BodyText"/>
    <w:link w:val="AnnexFigureCaptionChar"/>
    <w:qFormat/>
    <w:pPr>
      <w:numPr>
        <w:numId w:val="24"/>
      </w:numPr>
      <w:jc w:val="center"/>
    </w:pPr>
    <w:rPr>
      <w:i/>
      <w:color w:val="00558C"/>
    </w:rPr>
  </w:style>
  <w:style w:type="character" w:customStyle="1" w:styleId="AnnexFigureCaptionChar">
    <w:name w:val="Annex Figure Caption Char"/>
    <w:basedOn w:val="BodyTextChar"/>
    <w:link w:val="AnnexFigureCaption"/>
    <w:qFormat/>
    <w:rPr>
      <w:rFonts w:asciiTheme="minorHAnsi" w:eastAsiaTheme="minorHAnsi" w:hAnsiTheme="minorHAnsi" w:cstheme="minorBidi"/>
      <w:i/>
      <w:color w:val="00558C"/>
      <w:sz w:val="22"/>
      <w:szCs w:val="22"/>
      <w:lang w:val="en-GB" w:eastAsia="en-US"/>
    </w:rPr>
  </w:style>
  <w:style w:type="paragraph" w:customStyle="1" w:styleId="AppendixHead1">
    <w:name w:val="Appendix Head 1"/>
    <w:basedOn w:val="Normal"/>
    <w:next w:val="Heading1separationline"/>
    <w:qFormat/>
    <w:pPr>
      <w:numPr>
        <w:ilvl w:val="1"/>
        <w:numId w:val="14"/>
      </w:numPr>
      <w:spacing w:before="120" w:after="120" w:line="240" w:lineRule="auto"/>
    </w:pPr>
    <w:rPr>
      <w:rFonts w:eastAsia="Calibri" w:cs="Arial"/>
      <w:b/>
      <w:caps/>
      <w:color w:val="00558C"/>
      <w:sz w:val="28"/>
      <w:lang w:eastAsia="en-GB"/>
    </w:rPr>
  </w:style>
  <w:style w:type="paragraph" w:customStyle="1" w:styleId="EmphasisParagraph">
    <w:name w:val="Emphasis Paragraph"/>
    <w:basedOn w:val="BodyText"/>
    <w:next w:val="BodyText"/>
    <w:link w:val="EmphasisParagraphChar"/>
    <w:qFormat/>
    <w:pPr>
      <w:ind w:left="425" w:right="709"/>
    </w:pPr>
    <w:rPr>
      <w:i/>
    </w:rPr>
  </w:style>
  <w:style w:type="character" w:customStyle="1" w:styleId="EmphasisParagraphChar">
    <w:name w:val="Emphasis Paragraph Char"/>
    <w:basedOn w:val="BodyTextChar"/>
    <w:link w:val="EmphasisParagraph"/>
    <w:qFormat/>
    <w:rPr>
      <w:rFonts w:asciiTheme="minorHAnsi" w:eastAsiaTheme="minorHAnsi" w:hAnsiTheme="minorHAnsi" w:cstheme="minorBidi"/>
      <w:i/>
      <w:sz w:val="22"/>
      <w:szCs w:val="22"/>
      <w:lang w:eastAsia="en-US"/>
    </w:rPr>
  </w:style>
  <w:style w:type="paragraph" w:customStyle="1" w:styleId="Quotationparagraph">
    <w:name w:val="Quotation paragraph"/>
    <w:basedOn w:val="BodyText"/>
    <w:link w:val="QuotationparagraphChar"/>
    <w:qFormat/>
    <w:pPr>
      <w:suppressAutoHyphens/>
      <w:ind w:left="567" w:right="707"/>
    </w:pPr>
  </w:style>
  <w:style w:type="character" w:customStyle="1" w:styleId="QuotationparagraphChar">
    <w:name w:val="Quotation paragraph Char"/>
    <w:basedOn w:val="BodyTextChar"/>
    <w:link w:val="Quotationparagraph"/>
    <w:qFormat/>
    <w:rPr>
      <w:rFonts w:asciiTheme="minorHAnsi" w:eastAsiaTheme="minorHAnsi" w:hAnsiTheme="minorHAnsi" w:cstheme="minorBidi"/>
      <w:sz w:val="22"/>
      <w:szCs w:val="22"/>
      <w:lang w:eastAsia="en-US"/>
    </w:rPr>
  </w:style>
  <w:style w:type="character" w:customStyle="1" w:styleId="A4">
    <w:name w:val="A4"/>
    <w:uiPriority w:val="99"/>
    <w:qFormat/>
    <w:rPr>
      <w:rFonts w:cs="Barlow Medium"/>
      <w:color w:val="211D1E"/>
      <w:sz w:val="20"/>
      <w:szCs w:val="20"/>
    </w:rPr>
  </w:style>
  <w:style w:type="table" w:customStyle="1" w:styleId="Style10">
    <w:name w:val="_Style 10"/>
    <w:basedOn w:val="TableNormal"/>
    <w:qFormat/>
    <w:tblPr>
      <w:tblCellMar>
        <w:top w:w="100" w:type="dxa"/>
        <w:left w:w="100" w:type="dxa"/>
        <w:bottom w:w="100" w:type="dxa"/>
        <w:right w:w="100" w:type="dxa"/>
      </w:tblCellMar>
    </w:tblPr>
  </w:style>
  <w:style w:type="table" w:customStyle="1" w:styleId="Style11">
    <w:name w:val="_Style 11"/>
    <w:basedOn w:val="TableNormal"/>
    <w:qFormat/>
    <w:tblPr>
      <w:tblCellMar>
        <w:top w:w="100" w:type="dxa"/>
        <w:left w:w="100" w:type="dxa"/>
        <w:bottom w:w="100" w:type="dxa"/>
        <w:right w:w="100" w:type="dxa"/>
      </w:tblCellMar>
    </w:tblPr>
  </w:style>
  <w:style w:type="table" w:customStyle="1" w:styleId="Style12">
    <w:name w:val="_Style 12"/>
    <w:basedOn w:val="TableNormal"/>
    <w:qFormat/>
    <w:tblPr>
      <w:tblCellMar>
        <w:top w:w="100" w:type="dxa"/>
        <w:left w:w="100" w:type="dxa"/>
        <w:bottom w:w="100" w:type="dxa"/>
        <w:right w:w="100" w:type="dxa"/>
      </w:tblCellMar>
    </w:tblPr>
  </w:style>
  <w:style w:type="table" w:customStyle="1" w:styleId="Style13">
    <w:name w:val="_Style 13"/>
    <w:basedOn w:val="TableNormal"/>
    <w:qFormat/>
    <w:tblPr>
      <w:tblCellMar>
        <w:top w:w="100" w:type="dxa"/>
        <w:left w:w="100" w:type="dxa"/>
        <w:bottom w:w="100" w:type="dxa"/>
        <w:right w:w="100" w:type="dxa"/>
      </w:tblCellMar>
    </w:tblPr>
  </w:style>
  <w:style w:type="paragraph" w:customStyle="1" w:styleId="2">
    <w:name w:val="修订2"/>
    <w:hidden/>
    <w:uiPriority w:val="99"/>
    <w:unhideWhenUsed/>
    <w:qFormat/>
    <w:rPr>
      <w:rFonts w:asciiTheme="minorHAnsi" w:eastAsiaTheme="minorHAnsi" w:hAnsiTheme="minorHAnsi" w:cstheme="minorBidi"/>
      <w:sz w:val="18"/>
      <w:szCs w:val="22"/>
      <w:lang w:val="en-GB"/>
    </w:rPr>
  </w:style>
  <w:style w:type="character" w:customStyle="1" w:styleId="font21">
    <w:name w:val="font21"/>
    <w:basedOn w:val="DefaultParagraphFont"/>
    <w:qFormat/>
    <w:rPr>
      <w:rFonts w:ascii="Calibri" w:hAnsi="Calibri" w:cs="Calibri"/>
      <w:color w:val="000000"/>
      <w:sz w:val="24"/>
      <w:szCs w:val="24"/>
      <w:u w:val="none"/>
    </w:rPr>
  </w:style>
  <w:style w:type="character" w:customStyle="1" w:styleId="font11">
    <w:name w:val="font11"/>
    <w:basedOn w:val="DefaultParagraphFont"/>
    <w:qFormat/>
    <w:rPr>
      <w:rFonts w:ascii="SimSun" w:eastAsia="SimSun" w:hAnsi="SimSun" w:cs="SimSun" w:hint="eastAsia"/>
      <w:color w:val="000000"/>
      <w:sz w:val="24"/>
      <w:szCs w:val="24"/>
      <w:u w:val="none"/>
    </w:rPr>
  </w:style>
  <w:style w:type="paragraph" w:customStyle="1" w:styleId="TableParagraph">
    <w:name w:val="Table Paragraph"/>
    <w:basedOn w:val="Normal"/>
    <w:uiPriority w:val="1"/>
    <w:qFormat/>
    <w:pPr>
      <w:widowControl w:val="0"/>
      <w:spacing w:line="240" w:lineRule="auto"/>
      <w:jc w:val="both"/>
    </w:pPr>
    <w:rPr>
      <w:rFonts w:ascii="SimHei" w:eastAsia="SimHei" w:hAnsi="SimHei" w:cs="SimHei"/>
      <w:kern w:val="2"/>
      <w:sz w:val="21"/>
      <w:szCs w:val="24"/>
      <w:lang w:val="zh-CN" w:eastAsia="zh-CN" w:bidi="zh-CN"/>
    </w:rPr>
  </w:style>
  <w:style w:type="paragraph" w:customStyle="1" w:styleId="3">
    <w:name w:val="修订3"/>
    <w:hidden/>
    <w:uiPriority w:val="99"/>
    <w:unhideWhenUsed/>
    <w:qFormat/>
    <w:rPr>
      <w:rFonts w:asciiTheme="minorHAnsi" w:eastAsiaTheme="minorHAnsi" w:hAnsiTheme="minorHAnsi" w:cstheme="minorBidi"/>
      <w:sz w:val="18"/>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162a95b34499dfcba3d4d087491dcb6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9ed99f5dcfcd79d7f094ea2c76bbddc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s:customData xmlns="http://www.wps.cn/officeDocument/2013/wpsCustomData" xmlns:s="http://www.wps.cn/officeDocument/2013/wpsCustomData">
  <customSectProps/>
</s:customDat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Props1.xml><?xml version="1.0" encoding="utf-8"?>
<ds:datastoreItem xmlns:ds="http://schemas.openxmlformats.org/officeDocument/2006/customXml" ds:itemID="{0A69621C-D4A7-4065-BD5B-E227BA623F8F}">
  <ds:schemaRefs>
    <ds:schemaRef ds:uri="http://schemas.microsoft.com/sharepoint/v3/contenttype/forms"/>
  </ds:schemaRefs>
</ds:datastoreItem>
</file>

<file path=customXml/itemProps2.xml><?xml version="1.0" encoding="utf-8"?>
<ds:datastoreItem xmlns:ds="http://schemas.openxmlformats.org/officeDocument/2006/customXml" ds:itemID="{C7B35687-BB3C-4F93-AE87-F19F4060E0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05F50067-3AE2-4AAF-B28B-918AAC01AEF8}">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7</Pages>
  <Words>1805</Words>
  <Characters>10980</Characters>
  <Application>Microsoft Office Word</Application>
  <DocSecurity>0</DocSecurity>
  <Lines>249</Lines>
  <Paragraphs>180</Paragraphs>
  <ScaleCrop>false</ScaleCrop>
  <Company>P R C</Company>
  <LinksUpToDate>false</LinksUpToDate>
  <CharactersWithSpaces>12605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Wim</dc:creator>
  <cp:lastModifiedBy>Alisa Nechyporuk</cp:lastModifiedBy>
  <cp:revision>68</cp:revision>
  <cp:lastPrinted>2024-07-14T20:57:00Z</cp:lastPrinted>
  <dcterms:created xsi:type="dcterms:W3CDTF">2021-08-28T23:13:00Z</dcterms:created>
  <dcterms:modified xsi:type="dcterms:W3CDTF">2026-03-05T10:52:00Z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KSOProductBuildVer">
    <vt:lpwstr>2052-11.8.2.10534</vt:lpwstr>
  </property>
  <property fmtid="{D5CDD505-2E9C-101B-9397-08002B2CF9AE}" pid="4" name="ICV">
    <vt:lpwstr>2443537F0DD3431A9C9554856806CCDA_13</vt:lpwstr>
  </property>
  <property fmtid="{D5CDD505-2E9C-101B-9397-08002B2CF9AE}" pid="5" name="KSOTemplateDocerSaveRecord">
    <vt:lpwstr>eyJoZGlkIjoiYmI2ODA3ODcyNmI0YmE1ZjFkY2MwZjA0N2EwYzI3ZDQiLCJ1c2VySWQiOiIzNzAzMzE0MjcifQ==</vt:lpwstr>
  </property>
  <property fmtid="{D5CDD505-2E9C-101B-9397-08002B2CF9AE}" pid="6" name="GrammarlyDocumentId">
    <vt:lpwstr>fa5eb3b7-b1b2-4f2e-9ef2-5fcdaf5f76f3</vt:lpwstr>
  </property>
  <property fmtid="{D5CDD505-2E9C-101B-9397-08002B2CF9AE}" pid="7" name="MediaServiceImageTags">
    <vt:lpwstr/>
  </property>
</Properties>
</file>